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7332D" w14:textId="316C406A" w:rsidR="003C3977" w:rsidRDefault="003C3977">
      <w:pPr>
        <w:spacing w:before="240" w:line="271" w:lineRule="auto"/>
        <w:rPr>
          <w:rFonts w:eastAsia="Georgia" w:hAnsi="Georgia" w:cs="Georgia"/>
          <w:b/>
          <w:sz w:val="56"/>
        </w:rPr>
      </w:pPr>
      <w:bookmarkStart w:id="0" w:name="résumé_exécutif"/>
      <w:r>
        <w:rPr>
          <w:rFonts w:eastAsia="Georgia" w:hAnsi="Georgia" w:cs="Georgia"/>
          <w:b/>
          <w:noProof/>
          <w:sz w:val="56"/>
        </w:rPr>
        <w:drawing>
          <wp:anchor distT="0" distB="0" distL="114300" distR="114300" simplePos="0" relativeHeight="251658240" behindDoc="1" locked="0" layoutInCell="1" allowOverlap="1" wp14:anchorId="7A01161D" wp14:editId="44147666">
            <wp:simplePos x="0" y="0"/>
            <wp:positionH relativeFrom="margin">
              <wp:align>center</wp:align>
            </wp:positionH>
            <wp:positionV relativeFrom="paragraph">
              <wp:posOffset>8890</wp:posOffset>
            </wp:positionV>
            <wp:extent cx="6374130" cy="9016365"/>
            <wp:effectExtent l="0" t="0" r="7620" b="0"/>
            <wp:wrapTight wrapText="bothSides">
              <wp:wrapPolygon edited="0">
                <wp:start x="0" y="0"/>
                <wp:lineTo x="0" y="21541"/>
                <wp:lineTo x="21561" y="21541"/>
                <wp:lineTo x="21561" y="0"/>
                <wp:lineTo x="0" y="0"/>
              </wp:wrapPolygon>
            </wp:wrapTight>
            <wp:docPr id="6961330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33005" name="Image 1"/>
                    <pic:cNvPicPr/>
                  </pic:nvPicPr>
                  <pic:blipFill>
                    <a:blip r:embed="rId8">
                      <a:extLst>
                        <a:ext uri="{28A0092B-C50C-407E-A947-70E740481C1C}">
                          <a14:useLocalDpi xmlns:a14="http://schemas.microsoft.com/office/drawing/2010/main" val="0"/>
                        </a:ext>
                      </a:extLst>
                    </a:blip>
                    <a:stretch>
                      <a:fillRect/>
                    </a:stretch>
                  </pic:blipFill>
                  <pic:spPr>
                    <a:xfrm>
                      <a:off x="0" y="0"/>
                      <a:ext cx="6374764" cy="9016640"/>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color w:val="auto"/>
          <w:sz w:val="21"/>
          <w:szCs w:val="21"/>
        </w:rPr>
        <w:id w:val="1458369981"/>
        <w:docPartObj>
          <w:docPartGallery w:val="Table of Contents"/>
          <w:docPartUnique/>
        </w:docPartObj>
      </w:sdtPr>
      <w:sdtEndPr>
        <w:rPr>
          <w:sz w:val="22"/>
          <w:szCs w:val="22"/>
        </w:rPr>
      </w:sdtEndPr>
      <w:sdtContent>
        <w:p w14:paraId="47EAE077" w14:textId="779934D9" w:rsidR="003C3977" w:rsidRDefault="003C3977">
          <w:pPr>
            <w:pStyle w:val="En-ttedetabledesmatires"/>
          </w:pPr>
          <w:r>
            <w:t>SOMMAIRE</w:t>
          </w:r>
        </w:p>
        <w:p w14:paraId="085BA0AF" w14:textId="744E5264" w:rsidR="00956011" w:rsidRDefault="003C3977">
          <w:pPr>
            <w:pStyle w:val="TM1"/>
            <w:tabs>
              <w:tab w:val="right" w:leader="dot" w:pos="10790"/>
            </w:tabs>
            <w:rPr>
              <w:noProof/>
              <w:kern w:val="2"/>
              <w:sz w:val="24"/>
              <w:szCs w:val="24"/>
              <w:lang w:eastAsia="fr-FR"/>
              <w14:ligatures w14:val="standardContextual"/>
            </w:rPr>
          </w:pPr>
          <w:r>
            <w:fldChar w:fldCharType="begin"/>
          </w:r>
          <w:r>
            <w:instrText xml:space="preserve"> TOC \o "1-3" \h \z \u </w:instrText>
          </w:r>
          <w:r>
            <w:fldChar w:fldCharType="separate"/>
          </w:r>
          <w:hyperlink w:anchor="_Toc216678959" w:history="1">
            <w:r w:rsidR="00956011" w:rsidRPr="00ED1FE7">
              <w:rPr>
                <w:rStyle w:val="Lienhypertexte"/>
                <w:noProof/>
              </w:rPr>
              <w:t>DISPOSITIF DE CONFIDENTIALITÉ – DIFFUSION RESTREINTE</w:t>
            </w:r>
            <w:r w:rsidR="00956011">
              <w:rPr>
                <w:noProof/>
                <w:webHidden/>
              </w:rPr>
              <w:tab/>
            </w:r>
            <w:r w:rsidR="00956011">
              <w:rPr>
                <w:noProof/>
                <w:webHidden/>
              </w:rPr>
              <w:fldChar w:fldCharType="begin"/>
            </w:r>
            <w:r w:rsidR="00956011">
              <w:rPr>
                <w:noProof/>
                <w:webHidden/>
              </w:rPr>
              <w:instrText xml:space="preserve"> PAGEREF _Toc216678959 \h </w:instrText>
            </w:r>
            <w:r w:rsidR="00956011">
              <w:rPr>
                <w:noProof/>
                <w:webHidden/>
              </w:rPr>
            </w:r>
            <w:r w:rsidR="00956011">
              <w:rPr>
                <w:noProof/>
                <w:webHidden/>
              </w:rPr>
              <w:fldChar w:fldCharType="separate"/>
            </w:r>
            <w:r w:rsidR="00956011">
              <w:rPr>
                <w:noProof/>
                <w:webHidden/>
              </w:rPr>
              <w:t>3</w:t>
            </w:r>
            <w:r w:rsidR="00956011">
              <w:rPr>
                <w:noProof/>
                <w:webHidden/>
              </w:rPr>
              <w:fldChar w:fldCharType="end"/>
            </w:r>
          </w:hyperlink>
        </w:p>
        <w:p w14:paraId="3E301F2F" w14:textId="6E37BBAA" w:rsidR="00956011" w:rsidRDefault="00956011">
          <w:pPr>
            <w:pStyle w:val="TM1"/>
            <w:tabs>
              <w:tab w:val="right" w:leader="dot" w:pos="10790"/>
            </w:tabs>
            <w:rPr>
              <w:noProof/>
              <w:kern w:val="2"/>
              <w:sz w:val="24"/>
              <w:szCs w:val="24"/>
              <w:lang w:eastAsia="fr-FR"/>
              <w14:ligatures w14:val="standardContextual"/>
            </w:rPr>
          </w:pPr>
          <w:hyperlink w:anchor="_Toc216678960" w:history="1">
            <w:r w:rsidRPr="00ED1FE7">
              <w:rPr>
                <w:rStyle w:val="Lienhypertexte"/>
                <w:rFonts w:eastAsia="Georgia"/>
                <w:noProof/>
                <w:lang w:val="en-US"/>
              </w:rPr>
              <w:t>RESUME EXECUTIF</w:t>
            </w:r>
            <w:r>
              <w:rPr>
                <w:noProof/>
                <w:webHidden/>
              </w:rPr>
              <w:tab/>
            </w:r>
            <w:r>
              <w:rPr>
                <w:noProof/>
                <w:webHidden/>
              </w:rPr>
              <w:fldChar w:fldCharType="begin"/>
            </w:r>
            <w:r>
              <w:rPr>
                <w:noProof/>
                <w:webHidden/>
              </w:rPr>
              <w:instrText xml:space="preserve"> PAGEREF _Toc216678960 \h </w:instrText>
            </w:r>
            <w:r>
              <w:rPr>
                <w:noProof/>
                <w:webHidden/>
              </w:rPr>
            </w:r>
            <w:r>
              <w:rPr>
                <w:noProof/>
                <w:webHidden/>
              </w:rPr>
              <w:fldChar w:fldCharType="separate"/>
            </w:r>
            <w:r>
              <w:rPr>
                <w:noProof/>
                <w:webHidden/>
              </w:rPr>
              <w:t>4</w:t>
            </w:r>
            <w:r>
              <w:rPr>
                <w:noProof/>
                <w:webHidden/>
              </w:rPr>
              <w:fldChar w:fldCharType="end"/>
            </w:r>
          </w:hyperlink>
        </w:p>
        <w:p w14:paraId="57291E19" w14:textId="606B88B3" w:rsidR="00956011" w:rsidRDefault="00956011">
          <w:pPr>
            <w:pStyle w:val="TM1"/>
            <w:tabs>
              <w:tab w:val="right" w:leader="dot" w:pos="10790"/>
            </w:tabs>
            <w:rPr>
              <w:noProof/>
              <w:kern w:val="2"/>
              <w:sz w:val="24"/>
              <w:szCs w:val="24"/>
              <w:lang w:eastAsia="fr-FR"/>
              <w14:ligatures w14:val="standardContextual"/>
            </w:rPr>
          </w:pPr>
          <w:hyperlink w:anchor="_Toc216678961" w:history="1">
            <w:r w:rsidRPr="00ED1FE7">
              <w:rPr>
                <w:rStyle w:val="Lienhypertexte"/>
                <w:noProof/>
              </w:rPr>
              <w:t>INTRODUCTION &amp; CONTEXTE</w:t>
            </w:r>
            <w:r>
              <w:rPr>
                <w:noProof/>
                <w:webHidden/>
              </w:rPr>
              <w:tab/>
            </w:r>
            <w:r>
              <w:rPr>
                <w:noProof/>
                <w:webHidden/>
              </w:rPr>
              <w:fldChar w:fldCharType="begin"/>
            </w:r>
            <w:r>
              <w:rPr>
                <w:noProof/>
                <w:webHidden/>
              </w:rPr>
              <w:instrText xml:space="preserve"> PAGEREF _Toc216678961 \h </w:instrText>
            </w:r>
            <w:r>
              <w:rPr>
                <w:noProof/>
                <w:webHidden/>
              </w:rPr>
            </w:r>
            <w:r>
              <w:rPr>
                <w:noProof/>
                <w:webHidden/>
              </w:rPr>
              <w:fldChar w:fldCharType="separate"/>
            </w:r>
            <w:r>
              <w:rPr>
                <w:noProof/>
                <w:webHidden/>
              </w:rPr>
              <w:t>6</w:t>
            </w:r>
            <w:r>
              <w:rPr>
                <w:noProof/>
                <w:webHidden/>
              </w:rPr>
              <w:fldChar w:fldCharType="end"/>
            </w:r>
          </w:hyperlink>
        </w:p>
        <w:p w14:paraId="5F747E9F" w14:textId="70732696" w:rsidR="00956011" w:rsidRDefault="00956011">
          <w:pPr>
            <w:pStyle w:val="TM1"/>
            <w:tabs>
              <w:tab w:val="right" w:leader="dot" w:pos="10790"/>
            </w:tabs>
            <w:rPr>
              <w:noProof/>
              <w:kern w:val="2"/>
              <w:sz w:val="24"/>
              <w:szCs w:val="24"/>
              <w:lang w:eastAsia="fr-FR"/>
              <w14:ligatures w14:val="standardContextual"/>
            </w:rPr>
          </w:pPr>
          <w:hyperlink w:anchor="_Toc216678962" w:history="1">
            <w:r w:rsidRPr="00ED1FE7">
              <w:rPr>
                <w:rStyle w:val="Lienhypertexte"/>
                <w:rFonts w:eastAsia="Georgia"/>
                <w:noProof/>
              </w:rPr>
              <w:t>METHODOLOGIE</w:t>
            </w:r>
            <w:r>
              <w:rPr>
                <w:noProof/>
                <w:webHidden/>
              </w:rPr>
              <w:tab/>
            </w:r>
            <w:r>
              <w:rPr>
                <w:noProof/>
                <w:webHidden/>
              </w:rPr>
              <w:fldChar w:fldCharType="begin"/>
            </w:r>
            <w:r>
              <w:rPr>
                <w:noProof/>
                <w:webHidden/>
              </w:rPr>
              <w:instrText xml:space="preserve"> PAGEREF _Toc216678962 \h </w:instrText>
            </w:r>
            <w:r>
              <w:rPr>
                <w:noProof/>
                <w:webHidden/>
              </w:rPr>
            </w:r>
            <w:r>
              <w:rPr>
                <w:noProof/>
                <w:webHidden/>
              </w:rPr>
              <w:fldChar w:fldCharType="separate"/>
            </w:r>
            <w:r>
              <w:rPr>
                <w:noProof/>
                <w:webHidden/>
              </w:rPr>
              <w:t>6</w:t>
            </w:r>
            <w:r>
              <w:rPr>
                <w:noProof/>
                <w:webHidden/>
              </w:rPr>
              <w:fldChar w:fldCharType="end"/>
            </w:r>
          </w:hyperlink>
        </w:p>
        <w:p w14:paraId="132A75ED" w14:textId="62BA651E" w:rsidR="00956011" w:rsidRDefault="00956011">
          <w:pPr>
            <w:pStyle w:val="TM2"/>
            <w:tabs>
              <w:tab w:val="right" w:leader="dot" w:pos="10790"/>
            </w:tabs>
            <w:rPr>
              <w:noProof/>
              <w:kern w:val="2"/>
              <w:sz w:val="24"/>
              <w:szCs w:val="24"/>
              <w:lang w:eastAsia="fr-FR"/>
              <w14:ligatures w14:val="standardContextual"/>
            </w:rPr>
          </w:pPr>
          <w:hyperlink w:anchor="_Toc216678963" w:history="1">
            <w:r w:rsidRPr="00ED1FE7">
              <w:rPr>
                <w:rStyle w:val="Lienhypertexte"/>
                <w:noProof/>
              </w:rPr>
              <w:t>CADRE CONCEPTUEL</w:t>
            </w:r>
            <w:r>
              <w:rPr>
                <w:noProof/>
                <w:webHidden/>
              </w:rPr>
              <w:tab/>
            </w:r>
            <w:r>
              <w:rPr>
                <w:noProof/>
                <w:webHidden/>
              </w:rPr>
              <w:fldChar w:fldCharType="begin"/>
            </w:r>
            <w:r>
              <w:rPr>
                <w:noProof/>
                <w:webHidden/>
              </w:rPr>
              <w:instrText xml:space="preserve"> PAGEREF _Toc216678963 \h </w:instrText>
            </w:r>
            <w:r>
              <w:rPr>
                <w:noProof/>
                <w:webHidden/>
              </w:rPr>
            </w:r>
            <w:r>
              <w:rPr>
                <w:noProof/>
                <w:webHidden/>
              </w:rPr>
              <w:fldChar w:fldCharType="separate"/>
            </w:r>
            <w:r>
              <w:rPr>
                <w:noProof/>
                <w:webHidden/>
              </w:rPr>
              <w:t>6</w:t>
            </w:r>
            <w:r>
              <w:rPr>
                <w:noProof/>
                <w:webHidden/>
              </w:rPr>
              <w:fldChar w:fldCharType="end"/>
            </w:r>
          </w:hyperlink>
        </w:p>
        <w:p w14:paraId="5EFAC89B" w14:textId="7FFD42FE" w:rsidR="00956011" w:rsidRDefault="00956011">
          <w:pPr>
            <w:pStyle w:val="TM2"/>
            <w:tabs>
              <w:tab w:val="right" w:leader="dot" w:pos="10790"/>
            </w:tabs>
            <w:rPr>
              <w:noProof/>
              <w:kern w:val="2"/>
              <w:sz w:val="24"/>
              <w:szCs w:val="24"/>
              <w:lang w:eastAsia="fr-FR"/>
              <w14:ligatures w14:val="standardContextual"/>
            </w:rPr>
          </w:pPr>
          <w:hyperlink w:anchor="_Toc216678964" w:history="1">
            <w:r w:rsidRPr="00ED1FE7">
              <w:rPr>
                <w:rStyle w:val="Lienhypertexte"/>
                <w:noProof/>
              </w:rPr>
              <w:t>DISPOSITIF D’ENQUETE</w:t>
            </w:r>
            <w:r>
              <w:rPr>
                <w:noProof/>
                <w:webHidden/>
              </w:rPr>
              <w:tab/>
            </w:r>
            <w:r>
              <w:rPr>
                <w:noProof/>
                <w:webHidden/>
              </w:rPr>
              <w:fldChar w:fldCharType="begin"/>
            </w:r>
            <w:r>
              <w:rPr>
                <w:noProof/>
                <w:webHidden/>
              </w:rPr>
              <w:instrText xml:space="preserve"> PAGEREF _Toc216678964 \h </w:instrText>
            </w:r>
            <w:r>
              <w:rPr>
                <w:noProof/>
                <w:webHidden/>
              </w:rPr>
            </w:r>
            <w:r>
              <w:rPr>
                <w:noProof/>
                <w:webHidden/>
              </w:rPr>
              <w:fldChar w:fldCharType="separate"/>
            </w:r>
            <w:r>
              <w:rPr>
                <w:noProof/>
                <w:webHidden/>
              </w:rPr>
              <w:t>6</w:t>
            </w:r>
            <w:r>
              <w:rPr>
                <w:noProof/>
                <w:webHidden/>
              </w:rPr>
              <w:fldChar w:fldCharType="end"/>
            </w:r>
          </w:hyperlink>
        </w:p>
        <w:p w14:paraId="55EED566" w14:textId="45096E61" w:rsidR="00956011" w:rsidRDefault="00956011">
          <w:pPr>
            <w:pStyle w:val="TM2"/>
            <w:tabs>
              <w:tab w:val="right" w:leader="dot" w:pos="10790"/>
            </w:tabs>
            <w:rPr>
              <w:noProof/>
              <w:kern w:val="2"/>
              <w:sz w:val="24"/>
              <w:szCs w:val="24"/>
              <w:lang w:eastAsia="fr-FR"/>
              <w14:ligatures w14:val="standardContextual"/>
            </w:rPr>
          </w:pPr>
          <w:hyperlink w:anchor="_Toc216678965" w:history="1">
            <w:r w:rsidRPr="00ED1FE7">
              <w:rPr>
                <w:rStyle w:val="Lienhypertexte"/>
                <w:noProof/>
              </w:rPr>
              <w:t>PORTEE ET LIMITES</w:t>
            </w:r>
            <w:r>
              <w:rPr>
                <w:noProof/>
                <w:webHidden/>
              </w:rPr>
              <w:tab/>
            </w:r>
            <w:r>
              <w:rPr>
                <w:noProof/>
                <w:webHidden/>
              </w:rPr>
              <w:fldChar w:fldCharType="begin"/>
            </w:r>
            <w:r>
              <w:rPr>
                <w:noProof/>
                <w:webHidden/>
              </w:rPr>
              <w:instrText xml:space="preserve"> PAGEREF _Toc216678965 \h </w:instrText>
            </w:r>
            <w:r>
              <w:rPr>
                <w:noProof/>
                <w:webHidden/>
              </w:rPr>
            </w:r>
            <w:r>
              <w:rPr>
                <w:noProof/>
                <w:webHidden/>
              </w:rPr>
              <w:fldChar w:fldCharType="separate"/>
            </w:r>
            <w:r>
              <w:rPr>
                <w:noProof/>
                <w:webHidden/>
              </w:rPr>
              <w:t>7</w:t>
            </w:r>
            <w:r>
              <w:rPr>
                <w:noProof/>
                <w:webHidden/>
              </w:rPr>
              <w:fldChar w:fldCharType="end"/>
            </w:r>
          </w:hyperlink>
        </w:p>
        <w:p w14:paraId="467D83E5" w14:textId="3E6F672D" w:rsidR="00956011" w:rsidRDefault="00956011">
          <w:pPr>
            <w:pStyle w:val="TM1"/>
            <w:tabs>
              <w:tab w:val="right" w:leader="dot" w:pos="10790"/>
            </w:tabs>
            <w:rPr>
              <w:noProof/>
              <w:kern w:val="2"/>
              <w:sz w:val="24"/>
              <w:szCs w:val="24"/>
              <w:lang w:eastAsia="fr-FR"/>
              <w14:ligatures w14:val="standardContextual"/>
            </w:rPr>
          </w:pPr>
          <w:hyperlink w:anchor="_Toc216678966" w:history="1">
            <w:r w:rsidRPr="00ED1FE7">
              <w:rPr>
                <w:rStyle w:val="Lienhypertexte"/>
                <w:rFonts w:eastAsia="Georgia"/>
                <w:noProof/>
              </w:rPr>
              <w:t>PERCEPTIONS DES POPULATIONS SUR LES RISQUES INFORMATIONNELS</w:t>
            </w:r>
            <w:r>
              <w:rPr>
                <w:noProof/>
                <w:webHidden/>
              </w:rPr>
              <w:tab/>
            </w:r>
            <w:r>
              <w:rPr>
                <w:noProof/>
                <w:webHidden/>
              </w:rPr>
              <w:fldChar w:fldCharType="begin"/>
            </w:r>
            <w:r>
              <w:rPr>
                <w:noProof/>
                <w:webHidden/>
              </w:rPr>
              <w:instrText xml:space="preserve"> PAGEREF _Toc216678966 \h </w:instrText>
            </w:r>
            <w:r>
              <w:rPr>
                <w:noProof/>
                <w:webHidden/>
              </w:rPr>
            </w:r>
            <w:r>
              <w:rPr>
                <w:noProof/>
                <w:webHidden/>
              </w:rPr>
              <w:fldChar w:fldCharType="separate"/>
            </w:r>
            <w:r>
              <w:rPr>
                <w:noProof/>
                <w:webHidden/>
              </w:rPr>
              <w:t>8</w:t>
            </w:r>
            <w:r>
              <w:rPr>
                <w:noProof/>
                <w:webHidden/>
              </w:rPr>
              <w:fldChar w:fldCharType="end"/>
            </w:r>
          </w:hyperlink>
        </w:p>
        <w:p w14:paraId="5839B9DD" w14:textId="74F214E0" w:rsidR="00956011" w:rsidRDefault="00956011">
          <w:pPr>
            <w:pStyle w:val="TM2"/>
            <w:tabs>
              <w:tab w:val="left" w:pos="720"/>
              <w:tab w:val="right" w:leader="dot" w:pos="10790"/>
            </w:tabs>
            <w:rPr>
              <w:noProof/>
              <w:kern w:val="2"/>
              <w:sz w:val="24"/>
              <w:szCs w:val="24"/>
              <w:lang w:eastAsia="fr-FR"/>
              <w14:ligatures w14:val="standardContextual"/>
            </w:rPr>
          </w:pPr>
          <w:hyperlink w:anchor="_Toc216678967" w:history="1">
            <w:r w:rsidRPr="00ED1FE7">
              <w:rPr>
                <w:rStyle w:val="Lienhypertexte"/>
                <w:rFonts w:eastAsia="Georgia"/>
                <w:noProof/>
              </w:rPr>
              <w:t>1.</w:t>
            </w:r>
            <w:r>
              <w:rPr>
                <w:noProof/>
                <w:kern w:val="2"/>
                <w:sz w:val="24"/>
                <w:szCs w:val="24"/>
                <w:lang w:eastAsia="fr-FR"/>
                <w14:ligatures w14:val="standardContextual"/>
              </w:rPr>
              <w:tab/>
            </w:r>
            <w:r w:rsidRPr="00ED1FE7">
              <w:rPr>
                <w:rStyle w:val="Lienhypertexte"/>
                <w:rFonts w:eastAsia="Georgia"/>
                <w:noProof/>
              </w:rPr>
              <w:t>La désinformation devient « normale »</w:t>
            </w:r>
            <w:r>
              <w:rPr>
                <w:noProof/>
                <w:webHidden/>
              </w:rPr>
              <w:tab/>
            </w:r>
            <w:r>
              <w:rPr>
                <w:noProof/>
                <w:webHidden/>
              </w:rPr>
              <w:fldChar w:fldCharType="begin"/>
            </w:r>
            <w:r>
              <w:rPr>
                <w:noProof/>
                <w:webHidden/>
              </w:rPr>
              <w:instrText xml:space="preserve"> PAGEREF _Toc216678967 \h </w:instrText>
            </w:r>
            <w:r>
              <w:rPr>
                <w:noProof/>
                <w:webHidden/>
              </w:rPr>
            </w:r>
            <w:r>
              <w:rPr>
                <w:noProof/>
                <w:webHidden/>
              </w:rPr>
              <w:fldChar w:fldCharType="separate"/>
            </w:r>
            <w:r>
              <w:rPr>
                <w:noProof/>
                <w:webHidden/>
              </w:rPr>
              <w:t>8</w:t>
            </w:r>
            <w:r>
              <w:rPr>
                <w:noProof/>
                <w:webHidden/>
              </w:rPr>
              <w:fldChar w:fldCharType="end"/>
            </w:r>
          </w:hyperlink>
        </w:p>
        <w:p w14:paraId="399C2CAD" w14:textId="5CB3F1B7" w:rsidR="00956011" w:rsidRDefault="00956011">
          <w:pPr>
            <w:pStyle w:val="TM2"/>
            <w:tabs>
              <w:tab w:val="left" w:pos="720"/>
              <w:tab w:val="right" w:leader="dot" w:pos="10790"/>
            </w:tabs>
            <w:rPr>
              <w:noProof/>
              <w:kern w:val="2"/>
              <w:sz w:val="24"/>
              <w:szCs w:val="24"/>
              <w:lang w:eastAsia="fr-FR"/>
              <w14:ligatures w14:val="standardContextual"/>
            </w:rPr>
          </w:pPr>
          <w:hyperlink w:anchor="_Toc216678968" w:history="1">
            <w:r w:rsidRPr="00ED1FE7">
              <w:rPr>
                <w:rStyle w:val="Lienhypertexte"/>
                <w:rFonts w:eastAsia="Georgia"/>
                <w:noProof/>
              </w:rPr>
              <w:t>2.</w:t>
            </w:r>
            <w:r>
              <w:rPr>
                <w:noProof/>
                <w:kern w:val="2"/>
                <w:sz w:val="24"/>
                <w:szCs w:val="24"/>
                <w:lang w:eastAsia="fr-FR"/>
                <w14:ligatures w14:val="standardContextual"/>
              </w:rPr>
              <w:tab/>
            </w:r>
            <w:r w:rsidRPr="00ED1FE7">
              <w:rPr>
                <w:rStyle w:val="Lienhypertexte"/>
                <w:rFonts w:eastAsia="Georgia"/>
                <w:noProof/>
              </w:rPr>
              <w:t>Rumeurs sécuritaires : de l’alerte à la panique</w:t>
            </w:r>
            <w:r>
              <w:rPr>
                <w:noProof/>
                <w:webHidden/>
              </w:rPr>
              <w:tab/>
            </w:r>
            <w:r>
              <w:rPr>
                <w:noProof/>
                <w:webHidden/>
              </w:rPr>
              <w:fldChar w:fldCharType="begin"/>
            </w:r>
            <w:r>
              <w:rPr>
                <w:noProof/>
                <w:webHidden/>
              </w:rPr>
              <w:instrText xml:space="preserve"> PAGEREF _Toc216678968 \h </w:instrText>
            </w:r>
            <w:r>
              <w:rPr>
                <w:noProof/>
                <w:webHidden/>
              </w:rPr>
            </w:r>
            <w:r>
              <w:rPr>
                <w:noProof/>
                <w:webHidden/>
              </w:rPr>
              <w:fldChar w:fldCharType="separate"/>
            </w:r>
            <w:r>
              <w:rPr>
                <w:noProof/>
                <w:webHidden/>
              </w:rPr>
              <w:t>8</w:t>
            </w:r>
            <w:r>
              <w:rPr>
                <w:noProof/>
                <w:webHidden/>
              </w:rPr>
              <w:fldChar w:fldCharType="end"/>
            </w:r>
          </w:hyperlink>
        </w:p>
        <w:p w14:paraId="376AB713" w14:textId="6450E297" w:rsidR="00956011" w:rsidRDefault="00956011">
          <w:pPr>
            <w:pStyle w:val="TM2"/>
            <w:tabs>
              <w:tab w:val="left" w:pos="720"/>
              <w:tab w:val="right" w:leader="dot" w:pos="10790"/>
            </w:tabs>
            <w:rPr>
              <w:noProof/>
              <w:kern w:val="2"/>
              <w:sz w:val="24"/>
              <w:szCs w:val="24"/>
              <w:lang w:eastAsia="fr-FR"/>
              <w14:ligatures w14:val="standardContextual"/>
            </w:rPr>
          </w:pPr>
          <w:hyperlink w:anchor="_Toc216678969" w:history="1">
            <w:r w:rsidRPr="00ED1FE7">
              <w:rPr>
                <w:rStyle w:val="Lienhypertexte"/>
                <w:noProof/>
              </w:rPr>
              <w:t>3.</w:t>
            </w:r>
            <w:r>
              <w:rPr>
                <w:noProof/>
                <w:kern w:val="2"/>
                <w:sz w:val="24"/>
                <w:szCs w:val="24"/>
                <w:lang w:eastAsia="fr-FR"/>
                <w14:ligatures w14:val="standardContextual"/>
              </w:rPr>
              <w:tab/>
            </w:r>
            <w:r w:rsidRPr="00ED1FE7">
              <w:rPr>
                <w:rStyle w:val="Lienhypertexte"/>
                <w:noProof/>
              </w:rPr>
              <w:t>Désinformation sexiste et « centrafricanité » instrumentalisée</w:t>
            </w:r>
            <w:r>
              <w:rPr>
                <w:noProof/>
                <w:webHidden/>
              </w:rPr>
              <w:tab/>
            </w:r>
            <w:r>
              <w:rPr>
                <w:noProof/>
                <w:webHidden/>
              </w:rPr>
              <w:fldChar w:fldCharType="begin"/>
            </w:r>
            <w:r>
              <w:rPr>
                <w:noProof/>
                <w:webHidden/>
              </w:rPr>
              <w:instrText xml:space="preserve"> PAGEREF _Toc216678969 \h </w:instrText>
            </w:r>
            <w:r>
              <w:rPr>
                <w:noProof/>
                <w:webHidden/>
              </w:rPr>
            </w:r>
            <w:r>
              <w:rPr>
                <w:noProof/>
                <w:webHidden/>
              </w:rPr>
              <w:fldChar w:fldCharType="separate"/>
            </w:r>
            <w:r>
              <w:rPr>
                <w:noProof/>
                <w:webHidden/>
              </w:rPr>
              <w:t>9</w:t>
            </w:r>
            <w:r>
              <w:rPr>
                <w:noProof/>
                <w:webHidden/>
              </w:rPr>
              <w:fldChar w:fldCharType="end"/>
            </w:r>
          </w:hyperlink>
        </w:p>
        <w:p w14:paraId="13FE1FA8" w14:textId="5411FBDE" w:rsidR="00956011" w:rsidRDefault="00956011">
          <w:pPr>
            <w:pStyle w:val="TM2"/>
            <w:tabs>
              <w:tab w:val="left" w:pos="720"/>
              <w:tab w:val="right" w:leader="dot" w:pos="10790"/>
            </w:tabs>
            <w:rPr>
              <w:noProof/>
              <w:kern w:val="2"/>
              <w:sz w:val="24"/>
              <w:szCs w:val="24"/>
              <w:lang w:eastAsia="fr-FR"/>
              <w14:ligatures w14:val="standardContextual"/>
            </w:rPr>
          </w:pPr>
          <w:hyperlink w:anchor="_Toc216678970" w:history="1">
            <w:r w:rsidRPr="00ED1FE7">
              <w:rPr>
                <w:rStyle w:val="Lienhypertexte"/>
                <w:rFonts w:eastAsia="Georgia"/>
                <w:noProof/>
              </w:rPr>
              <w:t>4.</w:t>
            </w:r>
            <w:r>
              <w:rPr>
                <w:noProof/>
                <w:kern w:val="2"/>
                <w:sz w:val="24"/>
                <w:szCs w:val="24"/>
                <w:lang w:eastAsia="fr-FR"/>
                <w14:ligatures w14:val="standardContextual"/>
              </w:rPr>
              <w:tab/>
            </w:r>
            <w:r w:rsidRPr="00ED1FE7">
              <w:rPr>
                <w:rStyle w:val="Lienhypertexte"/>
                <w:rFonts w:eastAsia="Georgia"/>
                <w:noProof/>
              </w:rPr>
              <w:t>Zones grises entre parole et numérique</w:t>
            </w:r>
            <w:r>
              <w:rPr>
                <w:noProof/>
                <w:webHidden/>
              </w:rPr>
              <w:tab/>
            </w:r>
            <w:r>
              <w:rPr>
                <w:noProof/>
                <w:webHidden/>
              </w:rPr>
              <w:fldChar w:fldCharType="begin"/>
            </w:r>
            <w:r>
              <w:rPr>
                <w:noProof/>
                <w:webHidden/>
              </w:rPr>
              <w:instrText xml:space="preserve"> PAGEREF _Toc216678970 \h </w:instrText>
            </w:r>
            <w:r>
              <w:rPr>
                <w:noProof/>
                <w:webHidden/>
              </w:rPr>
            </w:r>
            <w:r>
              <w:rPr>
                <w:noProof/>
                <w:webHidden/>
              </w:rPr>
              <w:fldChar w:fldCharType="separate"/>
            </w:r>
            <w:r>
              <w:rPr>
                <w:noProof/>
                <w:webHidden/>
              </w:rPr>
              <w:t>11</w:t>
            </w:r>
            <w:r>
              <w:rPr>
                <w:noProof/>
                <w:webHidden/>
              </w:rPr>
              <w:fldChar w:fldCharType="end"/>
            </w:r>
          </w:hyperlink>
        </w:p>
        <w:p w14:paraId="17113C03" w14:textId="644DDD37" w:rsidR="00956011" w:rsidRDefault="00956011">
          <w:pPr>
            <w:pStyle w:val="TM2"/>
            <w:tabs>
              <w:tab w:val="left" w:pos="720"/>
              <w:tab w:val="right" w:leader="dot" w:pos="10790"/>
            </w:tabs>
            <w:rPr>
              <w:noProof/>
              <w:kern w:val="2"/>
              <w:sz w:val="24"/>
              <w:szCs w:val="24"/>
              <w:lang w:eastAsia="fr-FR"/>
              <w14:ligatures w14:val="standardContextual"/>
            </w:rPr>
          </w:pPr>
          <w:hyperlink w:anchor="_Toc216678971" w:history="1">
            <w:r w:rsidRPr="00ED1FE7">
              <w:rPr>
                <w:rStyle w:val="Lienhypertexte"/>
                <w:noProof/>
              </w:rPr>
              <w:t>5.</w:t>
            </w:r>
            <w:r>
              <w:rPr>
                <w:noProof/>
                <w:kern w:val="2"/>
                <w:sz w:val="24"/>
                <w:szCs w:val="24"/>
                <w:lang w:eastAsia="fr-FR"/>
                <w14:ligatures w14:val="standardContextual"/>
              </w:rPr>
              <w:tab/>
            </w:r>
            <w:r w:rsidRPr="00ED1FE7">
              <w:rPr>
                <w:rStyle w:val="Lienhypertexte"/>
                <w:noProof/>
              </w:rPr>
              <w:t>Fracture Bangui–provinces et avance organisationnelle du pouvoir</w:t>
            </w:r>
            <w:r>
              <w:rPr>
                <w:noProof/>
                <w:webHidden/>
              </w:rPr>
              <w:tab/>
            </w:r>
            <w:r>
              <w:rPr>
                <w:noProof/>
                <w:webHidden/>
              </w:rPr>
              <w:fldChar w:fldCharType="begin"/>
            </w:r>
            <w:r>
              <w:rPr>
                <w:noProof/>
                <w:webHidden/>
              </w:rPr>
              <w:instrText xml:space="preserve"> PAGEREF _Toc216678971 \h </w:instrText>
            </w:r>
            <w:r>
              <w:rPr>
                <w:noProof/>
                <w:webHidden/>
              </w:rPr>
            </w:r>
            <w:r>
              <w:rPr>
                <w:noProof/>
                <w:webHidden/>
              </w:rPr>
              <w:fldChar w:fldCharType="separate"/>
            </w:r>
            <w:r>
              <w:rPr>
                <w:noProof/>
                <w:webHidden/>
              </w:rPr>
              <w:t>12</w:t>
            </w:r>
            <w:r>
              <w:rPr>
                <w:noProof/>
                <w:webHidden/>
              </w:rPr>
              <w:fldChar w:fldCharType="end"/>
            </w:r>
          </w:hyperlink>
        </w:p>
        <w:p w14:paraId="0B37F99D" w14:textId="33CA671E" w:rsidR="00956011" w:rsidRDefault="00956011">
          <w:pPr>
            <w:pStyle w:val="TM2"/>
            <w:tabs>
              <w:tab w:val="left" w:pos="720"/>
              <w:tab w:val="right" w:leader="dot" w:pos="10790"/>
            </w:tabs>
            <w:rPr>
              <w:noProof/>
              <w:kern w:val="2"/>
              <w:sz w:val="24"/>
              <w:szCs w:val="24"/>
              <w:lang w:eastAsia="fr-FR"/>
              <w14:ligatures w14:val="standardContextual"/>
            </w:rPr>
          </w:pPr>
          <w:hyperlink w:anchor="_Toc216678972" w:history="1">
            <w:r w:rsidRPr="00ED1FE7">
              <w:rPr>
                <w:rStyle w:val="Lienhypertexte"/>
                <w:rFonts w:eastAsia="Georgia"/>
                <w:noProof/>
              </w:rPr>
              <w:t>6.</w:t>
            </w:r>
            <w:r>
              <w:rPr>
                <w:noProof/>
                <w:kern w:val="2"/>
                <w:sz w:val="24"/>
                <w:szCs w:val="24"/>
                <w:lang w:eastAsia="fr-FR"/>
                <w14:ligatures w14:val="standardContextual"/>
              </w:rPr>
              <w:tab/>
            </w:r>
            <w:r w:rsidRPr="00ED1FE7">
              <w:rPr>
                <w:rStyle w:val="Lienhypertexte"/>
                <w:rFonts w:eastAsia="Georgia"/>
                <w:noProof/>
              </w:rPr>
              <w:t>Diaspora, influences extérieures et économies de la rumeur</w:t>
            </w:r>
            <w:r>
              <w:rPr>
                <w:noProof/>
                <w:webHidden/>
              </w:rPr>
              <w:tab/>
            </w:r>
            <w:r>
              <w:rPr>
                <w:noProof/>
                <w:webHidden/>
              </w:rPr>
              <w:fldChar w:fldCharType="begin"/>
            </w:r>
            <w:r>
              <w:rPr>
                <w:noProof/>
                <w:webHidden/>
              </w:rPr>
              <w:instrText xml:space="preserve"> PAGEREF _Toc216678972 \h </w:instrText>
            </w:r>
            <w:r>
              <w:rPr>
                <w:noProof/>
                <w:webHidden/>
              </w:rPr>
            </w:r>
            <w:r>
              <w:rPr>
                <w:noProof/>
                <w:webHidden/>
              </w:rPr>
              <w:fldChar w:fldCharType="separate"/>
            </w:r>
            <w:r>
              <w:rPr>
                <w:noProof/>
                <w:webHidden/>
              </w:rPr>
              <w:t>12</w:t>
            </w:r>
            <w:r>
              <w:rPr>
                <w:noProof/>
                <w:webHidden/>
              </w:rPr>
              <w:fldChar w:fldCharType="end"/>
            </w:r>
          </w:hyperlink>
        </w:p>
        <w:p w14:paraId="7D6FAA30" w14:textId="72541429" w:rsidR="00956011" w:rsidRDefault="00956011">
          <w:pPr>
            <w:pStyle w:val="TM1"/>
            <w:tabs>
              <w:tab w:val="right" w:leader="dot" w:pos="10790"/>
            </w:tabs>
            <w:rPr>
              <w:noProof/>
              <w:kern w:val="2"/>
              <w:sz w:val="24"/>
              <w:szCs w:val="24"/>
              <w:lang w:eastAsia="fr-FR"/>
              <w14:ligatures w14:val="standardContextual"/>
            </w:rPr>
          </w:pPr>
          <w:hyperlink w:anchor="_Toc216678973" w:history="1">
            <w:r w:rsidRPr="00ED1FE7">
              <w:rPr>
                <w:rStyle w:val="Lienhypertexte"/>
                <w:noProof/>
              </w:rPr>
              <w:t>ANALYSE DES RISQUES</w:t>
            </w:r>
            <w:r>
              <w:rPr>
                <w:noProof/>
                <w:webHidden/>
              </w:rPr>
              <w:tab/>
            </w:r>
            <w:r>
              <w:rPr>
                <w:noProof/>
                <w:webHidden/>
              </w:rPr>
              <w:fldChar w:fldCharType="begin"/>
            </w:r>
            <w:r>
              <w:rPr>
                <w:noProof/>
                <w:webHidden/>
              </w:rPr>
              <w:instrText xml:space="preserve"> PAGEREF _Toc216678973 \h </w:instrText>
            </w:r>
            <w:r>
              <w:rPr>
                <w:noProof/>
                <w:webHidden/>
              </w:rPr>
            </w:r>
            <w:r>
              <w:rPr>
                <w:noProof/>
                <w:webHidden/>
              </w:rPr>
              <w:fldChar w:fldCharType="separate"/>
            </w:r>
            <w:r>
              <w:rPr>
                <w:noProof/>
                <w:webHidden/>
              </w:rPr>
              <w:t>14</w:t>
            </w:r>
            <w:r>
              <w:rPr>
                <w:noProof/>
                <w:webHidden/>
              </w:rPr>
              <w:fldChar w:fldCharType="end"/>
            </w:r>
          </w:hyperlink>
        </w:p>
        <w:p w14:paraId="3FE0EF72" w14:textId="09174F2E" w:rsidR="00956011" w:rsidRDefault="00956011">
          <w:pPr>
            <w:pStyle w:val="TM2"/>
            <w:tabs>
              <w:tab w:val="left" w:pos="720"/>
              <w:tab w:val="right" w:leader="dot" w:pos="10790"/>
            </w:tabs>
            <w:rPr>
              <w:noProof/>
              <w:kern w:val="2"/>
              <w:sz w:val="24"/>
              <w:szCs w:val="24"/>
              <w:lang w:eastAsia="fr-FR"/>
              <w14:ligatures w14:val="standardContextual"/>
            </w:rPr>
          </w:pPr>
          <w:hyperlink w:anchor="_Toc216678974" w:history="1">
            <w:r w:rsidRPr="00ED1FE7">
              <w:rPr>
                <w:rStyle w:val="Lienhypertexte"/>
                <w:rFonts w:eastAsia="Georgia"/>
                <w:noProof/>
              </w:rPr>
              <w:t>1.</w:t>
            </w:r>
            <w:r>
              <w:rPr>
                <w:noProof/>
                <w:kern w:val="2"/>
                <w:sz w:val="24"/>
                <w:szCs w:val="24"/>
                <w:lang w:eastAsia="fr-FR"/>
                <w14:ligatures w14:val="standardContextual"/>
              </w:rPr>
              <w:tab/>
            </w:r>
            <w:r w:rsidRPr="00ED1FE7">
              <w:rPr>
                <w:rStyle w:val="Lienhypertexte"/>
                <w:rFonts w:eastAsia="Georgia"/>
                <w:noProof/>
              </w:rPr>
              <w:t>Abstention différenciée territoriale</w:t>
            </w:r>
            <w:r>
              <w:rPr>
                <w:noProof/>
                <w:webHidden/>
              </w:rPr>
              <w:tab/>
            </w:r>
            <w:r>
              <w:rPr>
                <w:noProof/>
                <w:webHidden/>
              </w:rPr>
              <w:fldChar w:fldCharType="begin"/>
            </w:r>
            <w:r>
              <w:rPr>
                <w:noProof/>
                <w:webHidden/>
              </w:rPr>
              <w:instrText xml:space="preserve"> PAGEREF _Toc216678974 \h </w:instrText>
            </w:r>
            <w:r>
              <w:rPr>
                <w:noProof/>
                <w:webHidden/>
              </w:rPr>
            </w:r>
            <w:r>
              <w:rPr>
                <w:noProof/>
                <w:webHidden/>
              </w:rPr>
              <w:fldChar w:fldCharType="separate"/>
            </w:r>
            <w:r>
              <w:rPr>
                <w:noProof/>
                <w:webHidden/>
              </w:rPr>
              <w:t>14</w:t>
            </w:r>
            <w:r>
              <w:rPr>
                <w:noProof/>
                <w:webHidden/>
              </w:rPr>
              <w:fldChar w:fldCharType="end"/>
            </w:r>
          </w:hyperlink>
        </w:p>
        <w:p w14:paraId="334EB391" w14:textId="24ACD33D" w:rsidR="00956011" w:rsidRDefault="00956011">
          <w:pPr>
            <w:pStyle w:val="TM2"/>
            <w:tabs>
              <w:tab w:val="left" w:pos="720"/>
              <w:tab w:val="right" w:leader="dot" w:pos="10790"/>
            </w:tabs>
            <w:rPr>
              <w:noProof/>
              <w:kern w:val="2"/>
              <w:sz w:val="24"/>
              <w:szCs w:val="24"/>
              <w:lang w:eastAsia="fr-FR"/>
              <w14:ligatures w14:val="standardContextual"/>
            </w:rPr>
          </w:pPr>
          <w:hyperlink w:anchor="_Toc216678975" w:history="1">
            <w:r w:rsidRPr="00ED1FE7">
              <w:rPr>
                <w:rStyle w:val="Lienhypertexte"/>
                <w:rFonts w:eastAsia="Georgia"/>
                <w:noProof/>
              </w:rPr>
              <w:t>2.</w:t>
            </w:r>
            <w:r>
              <w:rPr>
                <w:noProof/>
                <w:kern w:val="2"/>
                <w:sz w:val="24"/>
                <w:szCs w:val="24"/>
                <w:lang w:eastAsia="fr-FR"/>
                <w14:ligatures w14:val="standardContextual"/>
              </w:rPr>
              <w:tab/>
            </w:r>
            <w:r w:rsidRPr="00ED1FE7">
              <w:rPr>
                <w:rStyle w:val="Lienhypertexte"/>
                <w:rFonts w:eastAsia="Georgia"/>
                <w:noProof/>
              </w:rPr>
              <w:t>Polarisation et tensions communautaires</w:t>
            </w:r>
            <w:r>
              <w:rPr>
                <w:noProof/>
                <w:webHidden/>
              </w:rPr>
              <w:tab/>
            </w:r>
            <w:r>
              <w:rPr>
                <w:noProof/>
                <w:webHidden/>
              </w:rPr>
              <w:fldChar w:fldCharType="begin"/>
            </w:r>
            <w:r>
              <w:rPr>
                <w:noProof/>
                <w:webHidden/>
              </w:rPr>
              <w:instrText xml:space="preserve"> PAGEREF _Toc216678975 \h </w:instrText>
            </w:r>
            <w:r>
              <w:rPr>
                <w:noProof/>
                <w:webHidden/>
              </w:rPr>
            </w:r>
            <w:r>
              <w:rPr>
                <w:noProof/>
                <w:webHidden/>
              </w:rPr>
              <w:fldChar w:fldCharType="separate"/>
            </w:r>
            <w:r>
              <w:rPr>
                <w:noProof/>
                <w:webHidden/>
              </w:rPr>
              <w:t>14</w:t>
            </w:r>
            <w:r>
              <w:rPr>
                <w:noProof/>
                <w:webHidden/>
              </w:rPr>
              <w:fldChar w:fldCharType="end"/>
            </w:r>
          </w:hyperlink>
        </w:p>
        <w:p w14:paraId="6D4BA2A1" w14:textId="041D3ADC" w:rsidR="00956011" w:rsidRDefault="00956011">
          <w:pPr>
            <w:pStyle w:val="TM2"/>
            <w:tabs>
              <w:tab w:val="left" w:pos="720"/>
              <w:tab w:val="right" w:leader="dot" w:pos="10790"/>
            </w:tabs>
            <w:rPr>
              <w:noProof/>
              <w:kern w:val="2"/>
              <w:sz w:val="24"/>
              <w:szCs w:val="24"/>
              <w:lang w:eastAsia="fr-FR"/>
              <w14:ligatures w14:val="standardContextual"/>
            </w:rPr>
          </w:pPr>
          <w:hyperlink w:anchor="_Toc216678976" w:history="1">
            <w:r w:rsidRPr="00ED1FE7">
              <w:rPr>
                <w:rStyle w:val="Lienhypertexte"/>
                <w:rFonts w:eastAsia="Georgia"/>
                <w:noProof/>
              </w:rPr>
              <w:t>3.</w:t>
            </w:r>
            <w:r>
              <w:rPr>
                <w:noProof/>
                <w:kern w:val="2"/>
                <w:sz w:val="24"/>
                <w:szCs w:val="24"/>
                <w:lang w:eastAsia="fr-FR"/>
                <w14:ligatures w14:val="standardContextual"/>
              </w:rPr>
              <w:tab/>
            </w:r>
            <w:r w:rsidRPr="00ED1FE7">
              <w:rPr>
                <w:rStyle w:val="Lienhypertexte"/>
                <w:rFonts w:eastAsia="Georgia"/>
                <w:noProof/>
              </w:rPr>
              <w:t>Confusion procédurale et défiance envers l’ANE</w:t>
            </w:r>
            <w:r>
              <w:rPr>
                <w:noProof/>
                <w:webHidden/>
              </w:rPr>
              <w:tab/>
            </w:r>
            <w:r>
              <w:rPr>
                <w:noProof/>
                <w:webHidden/>
              </w:rPr>
              <w:fldChar w:fldCharType="begin"/>
            </w:r>
            <w:r>
              <w:rPr>
                <w:noProof/>
                <w:webHidden/>
              </w:rPr>
              <w:instrText xml:space="preserve"> PAGEREF _Toc216678976 \h </w:instrText>
            </w:r>
            <w:r>
              <w:rPr>
                <w:noProof/>
                <w:webHidden/>
              </w:rPr>
            </w:r>
            <w:r>
              <w:rPr>
                <w:noProof/>
                <w:webHidden/>
              </w:rPr>
              <w:fldChar w:fldCharType="separate"/>
            </w:r>
            <w:r>
              <w:rPr>
                <w:noProof/>
                <w:webHidden/>
              </w:rPr>
              <w:t>14</w:t>
            </w:r>
            <w:r>
              <w:rPr>
                <w:noProof/>
                <w:webHidden/>
              </w:rPr>
              <w:fldChar w:fldCharType="end"/>
            </w:r>
          </w:hyperlink>
        </w:p>
        <w:p w14:paraId="09AAFC58" w14:textId="5749DEAF" w:rsidR="00956011" w:rsidRDefault="00956011">
          <w:pPr>
            <w:pStyle w:val="TM2"/>
            <w:tabs>
              <w:tab w:val="left" w:pos="720"/>
              <w:tab w:val="right" w:leader="dot" w:pos="10790"/>
            </w:tabs>
            <w:rPr>
              <w:noProof/>
              <w:kern w:val="2"/>
              <w:sz w:val="24"/>
              <w:szCs w:val="24"/>
              <w:lang w:eastAsia="fr-FR"/>
              <w14:ligatures w14:val="standardContextual"/>
            </w:rPr>
          </w:pPr>
          <w:hyperlink w:anchor="_Toc216678977" w:history="1">
            <w:r w:rsidRPr="00ED1FE7">
              <w:rPr>
                <w:rStyle w:val="Lienhypertexte"/>
                <w:rFonts w:eastAsia="Georgia"/>
                <w:noProof/>
              </w:rPr>
              <w:t>4.</w:t>
            </w:r>
            <w:r>
              <w:rPr>
                <w:noProof/>
                <w:kern w:val="2"/>
                <w:sz w:val="24"/>
                <w:szCs w:val="24"/>
                <w:lang w:eastAsia="fr-FR"/>
                <w14:ligatures w14:val="standardContextual"/>
              </w:rPr>
              <w:tab/>
            </w:r>
            <w:r w:rsidRPr="00ED1FE7">
              <w:rPr>
                <w:rStyle w:val="Lienhypertexte"/>
                <w:rFonts w:eastAsia="Georgia"/>
                <w:noProof/>
              </w:rPr>
              <w:t>Affaiblissement cible des femmes candidates</w:t>
            </w:r>
            <w:r>
              <w:rPr>
                <w:noProof/>
                <w:webHidden/>
              </w:rPr>
              <w:tab/>
            </w:r>
            <w:r>
              <w:rPr>
                <w:noProof/>
                <w:webHidden/>
              </w:rPr>
              <w:fldChar w:fldCharType="begin"/>
            </w:r>
            <w:r>
              <w:rPr>
                <w:noProof/>
                <w:webHidden/>
              </w:rPr>
              <w:instrText xml:space="preserve"> PAGEREF _Toc216678977 \h </w:instrText>
            </w:r>
            <w:r>
              <w:rPr>
                <w:noProof/>
                <w:webHidden/>
              </w:rPr>
            </w:r>
            <w:r>
              <w:rPr>
                <w:noProof/>
                <w:webHidden/>
              </w:rPr>
              <w:fldChar w:fldCharType="separate"/>
            </w:r>
            <w:r>
              <w:rPr>
                <w:noProof/>
                <w:webHidden/>
              </w:rPr>
              <w:t>14</w:t>
            </w:r>
            <w:r>
              <w:rPr>
                <w:noProof/>
                <w:webHidden/>
              </w:rPr>
              <w:fldChar w:fldCharType="end"/>
            </w:r>
          </w:hyperlink>
        </w:p>
        <w:p w14:paraId="7F9F6733" w14:textId="77E0B65E" w:rsidR="00956011" w:rsidRDefault="00956011">
          <w:pPr>
            <w:pStyle w:val="TM2"/>
            <w:tabs>
              <w:tab w:val="left" w:pos="720"/>
              <w:tab w:val="right" w:leader="dot" w:pos="10790"/>
            </w:tabs>
            <w:rPr>
              <w:noProof/>
              <w:kern w:val="2"/>
              <w:sz w:val="24"/>
              <w:szCs w:val="24"/>
              <w:lang w:eastAsia="fr-FR"/>
              <w14:ligatures w14:val="standardContextual"/>
            </w:rPr>
          </w:pPr>
          <w:hyperlink w:anchor="_Toc216678978" w:history="1">
            <w:r w:rsidRPr="00ED1FE7">
              <w:rPr>
                <w:rStyle w:val="Lienhypertexte"/>
                <w:rFonts w:eastAsia="Georgia"/>
                <w:noProof/>
              </w:rPr>
              <w:t>5.</w:t>
            </w:r>
            <w:r>
              <w:rPr>
                <w:noProof/>
                <w:kern w:val="2"/>
                <w:sz w:val="24"/>
                <w:szCs w:val="24"/>
                <w:lang w:eastAsia="fr-FR"/>
                <w14:ligatures w14:val="standardContextual"/>
              </w:rPr>
              <w:tab/>
            </w:r>
            <w:r w:rsidRPr="00ED1FE7">
              <w:rPr>
                <w:rStyle w:val="Lienhypertexte"/>
                <w:rFonts w:eastAsia="Georgia"/>
                <w:noProof/>
              </w:rPr>
              <w:t>Capture narrative de certains territoires</w:t>
            </w:r>
            <w:r>
              <w:rPr>
                <w:noProof/>
                <w:webHidden/>
              </w:rPr>
              <w:tab/>
            </w:r>
            <w:r>
              <w:rPr>
                <w:noProof/>
                <w:webHidden/>
              </w:rPr>
              <w:fldChar w:fldCharType="begin"/>
            </w:r>
            <w:r>
              <w:rPr>
                <w:noProof/>
                <w:webHidden/>
              </w:rPr>
              <w:instrText xml:space="preserve"> PAGEREF _Toc216678978 \h </w:instrText>
            </w:r>
            <w:r>
              <w:rPr>
                <w:noProof/>
                <w:webHidden/>
              </w:rPr>
            </w:r>
            <w:r>
              <w:rPr>
                <w:noProof/>
                <w:webHidden/>
              </w:rPr>
              <w:fldChar w:fldCharType="separate"/>
            </w:r>
            <w:r>
              <w:rPr>
                <w:noProof/>
                <w:webHidden/>
              </w:rPr>
              <w:t>15</w:t>
            </w:r>
            <w:r>
              <w:rPr>
                <w:noProof/>
                <w:webHidden/>
              </w:rPr>
              <w:fldChar w:fldCharType="end"/>
            </w:r>
          </w:hyperlink>
        </w:p>
        <w:p w14:paraId="21470850" w14:textId="48B1B610" w:rsidR="00956011" w:rsidRDefault="00956011">
          <w:pPr>
            <w:pStyle w:val="TM1"/>
            <w:tabs>
              <w:tab w:val="right" w:leader="dot" w:pos="10790"/>
            </w:tabs>
            <w:rPr>
              <w:noProof/>
              <w:kern w:val="2"/>
              <w:sz w:val="24"/>
              <w:szCs w:val="24"/>
              <w:lang w:eastAsia="fr-FR"/>
              <w14:ligatures w14:val="standardContextual"/>
            </w:rPr>
          </w:pPr>
          <w:hyperlink w:anchor="_Toc216678979" w:history="1">
            <w:r w:rsidRPr="00ED1FE7">
              <w:rPr>
                <w:rStyle w:val="Lienhypertexte"/>
                <w:rFonts w:eastAsia="Georgia"/>
                <w:noProof/>
              </w:rPr>
              <w:t xml:space="preserve">RECOMMANDATIONS </w:t>
            </w:r>
            <w:r w:rsidRPr="00ED1FE7">
              <w:rPr>
                <w:rStyle w:val="Lienhypertexte"/>
                <w:noProof/>
              </w:rPr>
              <w:t>FINALES</w:t>
            </w:r>
            <w:r>
              <w:rPr>
                <w:noProof/>
                <w:webHidden/>
              </w:rPr>
              <w:tab/>
            </w:r>
            <w:r>
              <w:rPr>
                <w:noProof/>
                <w:webHidden/>
              </w:rPr>
              <w:fldChar w:fldCharType="begin"/>
            </w:r>
            <w:r>
              <w:rPr>
                <w:noProof/>
                <w:webHidden/>
              </w:rPr>
              <w:instrText xml:space="preserve"> PAGEREF _Toc216678979 \h </w:instrText>
            </w:r>
            <w:r>
              <w:rPr>
                <w:noProof/>
                <w:webHidden/>
              </w:rPr>
            </w:r>
            <w:r>
              <w:rPr>
                <w:noProof/>
                <w:webHidden/>
              </w:rPr>
              <w:fldChar w:fldCharType="separate"/>
            </w:r>
            <w:r>
              <w:rPr>
                <w:noProof/>
                <w:webHidden/>
              </w:rPr>
              <w:t>16</w:t>
            </w:r>
            <w:r>
              <w:rPr>
                <w:noProof/>
                <w:webHidden/>
              </w:rPr>
              <w:fldChar w:fldCharType="end"/>
            </w:r>
          </w:hyperlink>
        </w:p>
        <w:p w14:paraId="3D16B769" w14:textId="44F54C93" w:rsidR="00956011" w:rsidRDefault="00956011">
          <w:pPr>
            <w:pStyle w:val="TM2"/>
            <w:tabs>
              <w:tab w:val="left" w:pos="720"/>
              <w:tab w:val="right" w:leader="dot" w:pos="10790"/>
            </w:tabs>
            <w:rPr>
              <w:noProof/>
              <w:kern w:val="2"/>
              <w:sz w:val="24"/>
              <w:szCs w:val="24"/>
              <w:lang w:eastAsia="fr-FR"/>
              <w14:ligatures w14:val="standardContextual"/>
            </w:rPr>
          </w:pPr>
          <w:hyperlink w:anchor="_Toc216678980" w:history="1">
            <w:r w:rsidRPr="00ED1FE7">
              <w:rPr>
                <w:rStyle w:val="Lienhypertexte"/>
                <w:rFonts w:eastAsia="Georgia"/>
                <w:noProof/>
              </w:rPr>
              <w:t>1.</w:t>
            </w:r>
            <w:r>
              <w:rPr>
                <w:noProof/>
                <w:kern w:val="2"/>
                <w:sz w:val="24"/>
                <w:szCs w:val="24"/>
                <w:lang w:eastAsia="fr-FR"/>
                <w14:ligatures w14:val="standardContextual"/>
              </w:rPr>
              <w:tab/>
            </w:r>
            <w:r w:rsidRPr="00ED1FE7">
              <w:rPr>
                <w:rStyle w:val="Lienhypertexte"/>
                <w:rFonts w:eastAsia="Georgia"/>
                <w:noProof/>
              </w:rPr>
              <w:t>Instaurer une parole institutionnelle simple, régulière et identifiée de l’ANE</w:t>
            </w:r>
            <w:r>
              <w:rPr>
                <w:noProof/>
                <w:webHidden/>
              </w:rPr>
              <w:tab/>
            </w:r>
            <w:r>
              <w:rPr>
                <w:noProof/>
                <w:webHidden/>
              </w:rPr>
              <w:fldChar w:fldCharType="begin"/>
            </w:r>
            <w:r>
              <w:rPr>
                <w:noProof/>
                <w:webHidden/>
              </w:rPr>
              <w:instrText xml:space="preserve"> PAGEREF _Toc216678980 \h </w:instrText>
            </w:r>
            <w:r>
              <w:rPr>
                <w:noProof/>
                <w:webHidden/>
              </w:rPr>
            </w:r>
            <w:r>
              <w:rPr>
                <w:noProof/>
                <w:webHidden/>
              </w:rPr>
              <w:fldChar w:fldCharType="separate"/>
            </w:r>
            <w:r>
              <w:rPr>
                <w:noProof/>
                <w:webHidden/>
              </w:rPr>
              <w:t>16</w:t>
            </w:r>
            <w:r>
              <w:rPr>
                <w:noProof/>
                <w:webHidden/>
              </w:rPr>
              <w:fldChar w:fldCharType="end"/>
            </w:r>
          </w:hyperlink>
        </w:p>
        <w:p w14:paraId="2B870286" w14:textId="15BA06C0" w:rsidR="00956011" w:rsidRDefault="00956011">
          <w:pPr>
            <w:pStyle w:val="TM2"/>
            <w:tabs>
              <w:tab w:val="left" w:pos="720"/>
              <w:tab w:val="right" w:leader="dot" w:pos="10790"/>
            </w:tabs>
            <w:rPr>
              <w:noProof/>
              <w:kern w:val="2"/>
              <w:sz w:val="24"/>
              <w:szCs w:val="24"/>
              <w:lang w:eastAsia="fr-FR"/>
              <w14:ligatures w14:val="standardContextual"/>
            </w:rPr>
          </w:pPr>
          <w:hyperlink w:anchor="_Toc216678981" w:history="1">
            <w:r w:rsidRPr="00ED1FE7">
              <w:rPr>
                <w:rStyle w:val="Lienhypertexte"/>
                <w:rFonts w:eastAsia="Georgia"/>
                <w:noProof/>
              </w:rPr>
              <w:t>2.</w:t>
            </w:r>
            <w:r>
              <w:rPr>
                <w:noProof/>
                <w:kern w:val="2"/>
                <w:sz w:val="24"/>
                <w:szCs w:val="24"/>
                <w:lang w:eastAsia="fr-FR"/>
                <w14:ligatures w14:val="standardContextual"/>
              </w:rPr>
              <w:tab/>
            </w:r>
            <w:r w:rsidRPr="00ED1FE7">
              <w:rPr>
                <w:rStyle w:val="Lienhypertexte"/>
                <w:rFonts w:eastAsia="Georgia"/>
                <w:noProof/>
              </w:rPr>
              <w:t>Diffuser un socle national minimal de messages standardisés</w:t>
            </w:r>
            <w:r>
              <w:rPr>
                <w:noProof/>
                <w:webHidden/>
              </w:rPr>
              <w:tab/>
            </w:r>
            <w:r>
              <w:rPr>
                <w:noProof/>
                <w:webHidden/>
              </w:rPr>
              <w:fldChar w:fldCharType="begin"/>
            </w:r>
            <w:r>
              <w:rPr>
                <w:noProof/>
                <w:webHidden/>
              </w:rPr>
              <w:instrText xml:space="preserve"> PAGEREF _Toc216678981 \h </w:instrText>
            </w:r>
            <w:r>
              <w:rPr>
                <w:noProof/>
                <w:webHidden/>
              </w:rPr>
            </w:r>
            <w:r>
              <w:rPr>
                <w:noProof/>
                <w:webHidden/>
              </w:rPr>
              <w:fldChar w:fldCharType="separate"/>
            </w:r>
            <w:r>
              <w:rPr>
                <w:noProof/>
                <w:webHidden/>
              </w:rPr>
              <w:t>16</w:t>
            </w:r>
            <w:r>
              <w:rPr>
                <w:noProof/>
                <w:webHidden/>
              </w:rPr>
              <w:fldChar w:fldCharType="end"/>
            </w:r>
          </w:hyperlink>
        </w:p>
        <w:p w14:paraId="75789E2D" w14:textId="02315B62" w:rsidR="00956011" w:rsidRDefault="00956011">
          <w:pPr>
            <w:pStyle w:val="TM2"/>
            <w:tabs>
              <w:tab w:val="left" w:pos="720"/>
              <w:tab w:val="right" w:leader="dot" w:pos="10790"/>
            </w:tabs>
            <w:rPr>
              <w:noProof/>
              <w:kern w:val="2"/>
              <w:sz w:val="24"/>
              <w:szCs w:val="24"/>
              <w:lang w:eastAsia="fr-FR"/>
              <w14:ligatures w14:val="standardContextual"/>
            </w:rPr>
          </w:pPr>
          <w:hyperlink w:anchor="_Toc216678982" w:history="1">
            <w:r w:rsidRPr="00ED1FE7">
              <w:rPr>
                <w:rStyle w:val="Lienhypertexte"/>
                <w:rFonts w:eastAsia="Georgia"/>
                <w:noProof/>
              </w:rPr>
              <w:t>3.</w:t>
            </w:r>
            <w:r>
              <w:rPr>
                <w:noProof/>
                <w:kern w:val="2"/>
                <w:sz w:val="24"/>
                <w:szCs w:val="24"/>
                <w:lang w:eastAsia="fr-FR"/>
                <w14:ligatures w14:val="standardContextual"/>
              </w:rPr>
              <w:tab/>
            </w:r>
            <w:r w:rsidRPr="00ED1FE7">
              <w:rPr>
                <w:rStyle w:val="Lienhypertexte"/>
                <w:rFonts w:eastAsia="Georgia"/>
                <w:noProof/>
              </w:rPr>
              <w:t>Hiérarchiser les rumeurs pour ajuster la réponse institutionnelle</w:t>
            </w:r>
            <w:r>
              <w:rPr>
                <w:noProof/>
                <w:webHidden/>
              </w:rPr>
              <w:tab/>
            </w:r>
            <w:r>
              <w:rPr>
                <w:noProof/>
                <w:webHidden/>
              </w:rPr>
              <w:fldChar w:fldCharType="begin"/>
            </w:r>
            <w:r>
              <w:rPr>
                <w:noProof/>
                <w:webHidden/>
              </w:rPr>
              <w:instrText xml:space="preserve"> PAGEREF _Toc216678982 \h </w:instrText>
            </w:r>
            <w:r>
              <w:rPr>
                <w:noProof/>
                <w:webHidden/>
              </w:rPr>
            </w:r>
            <w:r>
              <w:rPr>
                <w:noProof/>
                <w:webHidden/>
              </w:rPr>
              <w:fldChar w:fldCharType="separate"/>
            </w:r>
            <w:r>
              <w:rPr>
                <w:noProof/>
                <w:webHidden/>
              </w:rPr>
              <w:t>16</w:t>
            </w:r>
            <w:r>
              <w:rPr>
                <w:noProof/>
                <w:webHidden/>
              </w:rPr>
              <w:fldChar w:fldCharType="end"/>
            </w:r>
          </w:hyperlink>
        </w:p>
        <w:p w14:paraId="2F5919D6" w14:textId="111D4C88" w:rsidR="00956011" w:rsidRDefault="00956011">
          <w:pPr>
            <w:pStyle w:val="TM2"/>
            <w:tabs>
              <w:tab w:val="left" w:pos="720"/>
              <w:tab w:val="right" w:leader="dot" w:pos="10790"/>
            </w:tabs>
            <w:rPr>
              <w:noProof/>
              <w:kern w:val="2"/>
              <w:sz w:val="24"/>
              <w:szCs w:val="24"/>
              <w:lang w:eastAsia="fr-FR"/>
              <w14:ligatures w14:val="standardContextual"/>
            </w:rPr>
          </w:pPr>
          <w:hyperlink w:anchor="_Toc216678983" w:history="1">
            <w:r w:rsidRPr="00ED1FE7">
              <w:rPr>
                <w:rStyle w:val="Lienhypertexte"/>
                <w:rFonts w:eastAsia="Georgia"/>
                <w:noProof/>
              </w:rPr>
              <w:t>4.</w:t>
            </w:r>
            <w:r>
              <w:rPr>
                <w:noProof/>
                <w:kern w:val="2"/>
                <w:sz w:val="24"/>
                <w:szCs w:val="24"/>
                <w:lang w:eastAsia="fr-FR"/>
                <w14:ligatures w14:val="standardContextual"/>
              </w:rPr>
              <w:tab/>
            </w:r>
            <w:r w:rsidRPr="00ED1FE7">
              <w:rPr>
                <w:rStyle w:val="Lienhypertexte"/>
                <w:rFonts w:eastAsia="Georgia"/>
                <w:noProof/>
              </w:rPr>
              <w:t>Reconnaître explicitement la désinformation sexiste comme un risque électoral</w:t>
            </w:r>
            <w:r>
              <w:rPr>
                <w:noProof/>
                <w:webHidden/>
              </w:rPr>
              <w:tab/>
            </w:r>
            <w:r>
              <w:rPr>
                <w:noProof/>
                <w:webHidden/>
              </w:rPr>
              <w:fldChar w:fldCharType="begin"/>
            </w:r>
            <w:r>
              <w:rPr>
                <w:noProof/>
                <w:webHidden/>
              </w:rPr>
              <w:instrText xml:space="preserve"> PAGEREF _Toc216678983 \h </w:instrText>
            </w:r>
            <w:r>
              <w:rPr>
                <w:noProof/>
                <w:webHidden/>
              </w:rPr>
            </w:r>
            <w:r>
              <w:rPr>
                <w:noProof/>
                <w:webHidden/>
              </w:rPr>
              <w:fldChar w:fldCharType="separate"/>
            </w:r>
            <w:r>
              <w:rPr>
                <w:noProof/>
                <w:webHidden/>
              </w:rPr>
              <w:t>16</w:t>
            </w:r>
            <w:r>
              <w:rPr>
                <w:noProof/>
                <w:webHidden/>
              </w:rPr>
              <w:fldChar w:fldCharType="end"/>
            </w:r>
          </w:hyperlink>
        </w:p>
        <w:p w14:paraId="0840F964" w14:textId="2569F2B7" w:rsidR="00956011" w:rsidRDefault="00956011">
          <w:pPr>
            <w:pStyle w:val="TM2"/>
            <w:tabs>
              <w:tab w:val="left" w:pos="720"/>
              <w:tab w:val="right" w:leader="dot" w:pos="10790"/>
            </w:tabs>
            <w:rPr>
              <w:noProof/>
              <w:kern w:val="2"/>
              <w:sz w:val="24"/>
              <w:szCs w:val="24"/>
              <w:lang w:eastAsia="fr-FR"/>
              <w14:ligatures w14:val="standardContextual"/>
            </w:rPr>
          </w:pPr>
          <w:hyperlink w:anchor="_Toc216678984" w:history="1">
            <w:r w:rsidRPr="00ED1FE7">
              <w:rPr>
                <w:rStyle w:val="Lienhypertexte"/>
                <w:rFonts w:eastAsia="Georgia"/>
                <w:noProof/>
              </w:rPr>
              <w:t>5.</w:t>
            </w:r>
            <w:r>
              <w:rPr>
                <w:noProof/>
                <w:kern w:val="2"/>
                <w:sz w:val="24"/>
                <w:szCs w:val="24"/>
                <w:lang w:eastAsia="fr-FR"/>
                <w14:ligatures w14:val="standardContextual"/>
              </w:rPr>
              <w:tab/>
            </w:r>
            <w:r w:rsidRPr="00ED1FE7">
              <w:rPr>
                <w:rStyle w:val="Lienhypertexte"/>
                <w:rFonts w:eastAsia="Georgia"/>
                <w:noProof/>
              </w:rPr>
              <w:t>S’appuyer sur les relais sociaux réels comme traducteurs de l’information électorale</w:t>
            </w:r>
            <w:r>
              <w:rPr>
                <w:noProof/>
                <w:webHidden/>
              </w:rPr>
              <w:tab/>
            </w:r>
            <w:r>
              <w:rPr>
                <w:noProof/>
                <w:webHidden/>
              </w:rPr>
              <w:fldChar w:fldCharType="begin"/>
            </w:r>
            <w:r>
              <w:rPr>
                <w:noProof/>
                <w:webHidden/>
              </w:rPr>
              <w:instrText xml:space="preserve"> PAGEREF _Toc216678984 \h </w:instrText>
            </w:r>
            <w:r>
              <w:rPr>
                <w:noProof/>
                <w:webHidden/>
              </w:rPr>
            </w:r>
            <w:r>
              <w:rPr>
                <w:noProof/>
                <w:webHidden/>
              </w:rPr>
              <w:fldChar w:fldCharType="separate"/>
            </w:r>
            <w:r>
              <w:rPr>
                <w:noProof/>
                <w:webHidden/>
              </w:rPr>
              <w:t>16</w:t>
            </w:r>
            <w:r>
              <w:rPr>
                <w:noProof/>
                <w:webHidden/>
              </w:rPr>
              <w:fldChar w:fldCharType="end"/>
            </w:r>
          </w:hyperlink>
        </w:p>
        <w:p w14:paraId="3FAC3237" w14:textId="1403E47F" w:rsidR="00956011" w:rsidRDefault="00956011">
          <w:pPr>
            <w:pStyle w:val="TM1"/>
            <w:tabs>
              <w:tab w:val="right" w:leader="dot" w:pos="10790"/>
            </w:tabs>
            <w:rPr>
              <w:noProof/>
              <w:kern w:val="2"/>
              <w:sz w:val="24"/>
              <w:szCs w:val="24"/>
              <w:lang w:eastAsia="fr-FR"/>
              <w14:ligatures w14:val="standardContextual"/>
            </w:rPr>
          </w:pPr>
          <w:hyperlink w:anchor="_Toc216678985" w:history="1">
            <w:r w:rsidRPr="00ED1FE7">
              <w:rPr>
                <w:rStyle w:val="Lienhypertexte"/>
                <w:rFonts w:eastAsia="Georgia"/>
                <w:noProof/>
              </w:rPr>
              <w:t>CONCLUSION GENERALE</w:t>
            </w:r>
            <w:r>
              <w:rPr>
                <w:noProof/>
                <w:webHidden/>
              </w:rPr>
              <w:tab/>
            </w:r>
            <w:r>
              <w:rPr>
                <w:noProof/>
                <w:webHidden/>
              </w:rPr>
              <w:fldChar w:fldCharType="begin"/>
            </w:r>
            <w:r>
              <w:rPr>
                <w:noProof/>
                <w:webHidden/>
              </w:rPr>
              <w:instrText xml:space="preserve"> PAGEREF _Toc216678985 \h </w:instrText>
            </w:r>
            <w:r>
              <w:rPr>
                <w:noProof/>
                <w:webHidden/>
              </w:rPr>
            </w:r>
            <w:r>
              <w:rPr>
                <w:noProof/>
                <w:webHidden/>
              </w:rPr>
              <w:fldChar w:fldCharType="separate"/>
            </w:r>
            <w:r>
              <w:rPr>
                <w:noProof/>
                <w:webHidden/>
              </w:rPr>
              <w:t>18</w:t>
            </w:r>
            <w:r>
              <w:rPr>
                <w:noProof/>
                <w:webHidden/>
              </w:rPr>
              <w:fldChar w:fldCharType="end"/>
            </w:r>
          </w:hyperlink>
        </w:p>
        <w:p w14:paraId="4C0F4D5C" w14:textId="5FE5F3A7" w:rsidR="00956011" w:rsidRDefault="00956011">
          <w:pPr>
            <w:pStyle w:val="TM1"/>
            <w:tabs>
              <w:tab w:val="right" w:leader="dot" w:pos="10790"/>
            </w:tabs>
            <w:rPr>
              <w:noProof/>
              <w:kern w:val="2"/>
              <w:sz w:val="24"/>
              <w:szCs w:val="24"/>
              <w:lang w:eastAsia="fr-FR"/>
              <w14:ligatures w14:val="standardContextual"/>
            </w:rPr>
          </w:pPr>
          <w:hyperlink w:anchor="_Toc216678986" w:history="1">
            <w:r w:rsidRPr="00ED1FE7">
              <w:rPr>
                <w:rStyle w:val="Lienhypertexte"/>
                <w:rFonts w:ascii="Montserrat" w:eastAsia="Times New Roman" w:hAnsi="Montserrat" w:cs="Times New Roman"/>
                <w:b/>
                <w:bCs/>
                <w:noProof/>
              </w:rPr>
              <w:t>« REGARDS CIVILS »</w:t>
            </w:r>
            <w:r>
              <w:rPr>
                <w:noProof/>
                <w:webHidden/>
              </w:rPr>
              <w:tab/>
            </w:r>
            <w:r>
              <w:rPr>
                <w:noProof/>
                <w:webHidden/>
              </w:rPr>
              <w:fldChar w:fldCharType="begin"/>
            </w:r>
            <w:r>
              <w:rPr>
                <w:noProof/>
                <w:webHidden/>
              </w:rPr>
              <w:instrText xml:space="preserve"> PAGEREF _Toc216678986 \h </w:instrText>
            </w:r>
            <w:r>
              <w:rPr>
                <w:noProof/>
                <w:webHidden/>
              </w:rPr>
            </w:r>
            <w:r>
              <w:rPr>
                <w:noProof/>
                <w:webHidden/>
              </w:rPr>
              <w:fldChar w:fldCharType="separate"/>
            </w:r>
            <w:r>
              <w:rPr>
                <w:noProof/>
                <w:webHidden/>
              </w:rPr>
              <w:t>19</w:t>
            </w:r>
            <w:r>
              <w:rPr>
                <w:noProof/>
                <w:webHidden/>
              </w:rPr>
              <w:fldChar w:fldCharType="end"/>
            </w:r>
          </w:hyperlink>
        </w:p>
        <w:p w14:paraId="0217930C" w14:textId="7420F761" w:rsidR="00956011" w:rsidRDefault="00956011">
          <w:pPr>
            <w:pStyle w:val="TM1"/>
            <w:tabs>
              <w:tab w:val="right" w:leader="dot" w:pos="10790"/>
            </w:tabs>
            <w:rPr>
              <w:noProof/>
              <w:kern w:val="2"/>
              <w:sz w:val="24"/>
              <w:szCs w:val="24"/>
              <w:lang w:eastAsia="fr-FR"/>
              <w14:ligatures w14:val="standardContextual"/>
            </w:rPr>
          </w:pPr>
          <w:hyperlink w:anchor="_Toc216678987" w:history="1">
            <w:r w:rsidRPr="00ED1FE7">
              <w:rPr>
                <w:rStyle w:val="Lienhypertexte"/>
                <w:rFonts w:ascii="Montserrat" w:eastAsia="Calibri" w:hAnsi="Montserrat" w:cs="Times New Roman"/>
                <w:b/>
                <w:bCs/>
                <w:noProof/>
              </w:rPr>
              <w:t>QUI SOMMES-NOUS ?</w:t>
            </w:r>
            <w:r>
              <w:rPr>
                <w:noProof/>
                <w:webHidden/>
              </w:rPr>
              <w:tab/>
            </w:r>
            <w:r>
              <w:rPr>
                <w:noProof/>
                <w:webHidden/>
              </w:rPr>
              <w:fldChar w:fldCharType="begin"/>
            </w:r>
            <w:r>
              <w:rPr>
                <w:noProof/>
                <w:webHidden/>
              </w:rPr>
              <w:instrText xml:space="preserve"> PAGEREF _Toc216678987 \h </w:instrText>
            </w:r>
            <w:r>
              <w:rPr>
                <w:noProof/>
                <w:webHidden/>
              </w:rPr>
            </w:r>
            <w:r>
              <w:rPr>
                <w:noProof/>
                <w:webHidden/>
              </w:rPr>
              <w:fldChar w:fldCharType="separate"/>
            </w:r>
            <w:r>
              <w:rPr>
                <w:noProof/>
                <w:webHidden/>
              </w:rPr>
              <w:t>19</w:t>
            </w:r>
            <w:r>
              <w:rPr>
                <w:noProof/>
                <w:webHidden/>
              </w:rPr>
              <w:fldChar w:fldCharType="end"/>
            </w:r>
          </w:hyperlink>
        </w:p>
        <w:p w14:paraId="18B21238" w14:textId="5D70F7EB" w:rsidR="003C3977" w:rsidRDefault="003C3977">
          <w:r>
            <w:rPr>
              <w:rFonts w:hAnsi="Georgia"/>
              <w:b/>
              <w:bCs/>
              <w:noProof/>
            </w:rPr>
            <w:fldChar w:fldCharType="end"/>
          </w:r>
        </w:p>
      </w:sdtContent>
    </w:sdt>
    <w:p w14:paraId="01462D00" w14:textId="31142302" w:rsidR="003C3977" w:rsidRDefault="003C3977">
      <w:pPr>
        <w:spacing w:before="240" w:line="271" w:lineRule="auto"/>
        <w:rPr>
          <w:rFonts w:eastAsia="Georgia" w:hAnsi="Georgia" w:cs="Georgia"/>
          <w:b/>
          <w:sz w:val="56"/>
        </w:rPr>
      </w:pPr>
    </w:p>
    <w:p w14:paraId="67F63F41" w14:textId="581AA5E7" w:rsidR="003C3977" w:rsidRDefault="003C3977">
      <w:pPr>
        <w:spacing w:before="240" w:line="271" w:lineRule="auto"/>
        <w:rPr>
          <w:rFonts w:eastAsia="Georgia" w:hAnsi="Georgia" w:cs="Georgia"/>
          <w:b/>
          <w:sz w:val="56"/>
        </w:rPr>
      </w:pPr>
    </w:p>
    <w:p w14:paraId="52CEAB8C" w14:textId="77777777" w:rsidR="003C3977" w:rsidRDefault="003C3977">
      <w:pPr>
        <w:spacing w:before="240" w:line="271" w:lineRule="auto"/>
        <w:rPr>
          <w:rFonts w:eastAsia="Georgia" w:hAnsi="Georgia" w:cs="Georgia"/>
          <w:b/>
          <w:sz w:val="42"/>
        </w:rPr>
      </w:pPr>
    </w:p>
    <w:p w14:paraId="26FA8C8E" w14:textId="77777777" w:rsidR="00956011" w:rsidRPr="00956011" w:rsidRDefault="00956011" w:rsidP="00956011">
      <w:pPr>
        <w:pStyle w:val="Titre1"/>
      </w:pPr>
      <w:bookmarkStart w:id="1" w:name="_Toc216678959"/>
      <w:r w:rsidRPr="00956011">
        <w:rPr>
          <w:rStyle w:val="lev"/>
          <w:rFonts w:asciiTheme="minorHAnsi" w:hAnsiTheme="minorHAnsi"/>
          <w:sz w:val="22"/>
          <w:szCs w:val="22"/>
        </w:rPr>
        <w:t>DISPOSITIF DE CONFIDENTIALITÉ – DIFFUSION RESTREINTE</w:t>
      </w:r>
      <w:bookmarkEnd w:id="1"/>
    </w:p>
    <w:p w14:paraId="74EEDF00" w14:textId="77777777" w:rsidR="00956011" w:rsidRPr="00956011" w:rsidRDefault="00956011" w:rsidP="00956011">
      <w:pPr>
        <w:pStyle w:val="NormalWeb"/>
        <w:rPr>
          <w:rFonts w:asciiTheme="minorHAnsi" w:hAnsiTheme="minorHAnsi"/>
          <w:sz w:val="22"/>
          <w:szCs w:val="22"/>
        </w:rPr>
      </w:pPr>
      <w:r w:rsidRPr="00956011">
        <w:rPr>
          <w:rFonts w:asciiTheme="minorHAnsi" w:hAnsiTheme="minorHAnsi"/>
          <w:sz w:val="22"/>
          <w:szCs w:val="22"/>
        </w:rPr>
        <w:t>Ce document est partagé à titre non public et à usage exclusif des destinataires autorisés.</w:t>
      </w:r>
      <w:r w:rsidRPr="00956011">
        <w:rPr>
          <w:rFonts w:asciiTheme="minorHAnsi" w:hAnsiTheme="minorHAnsi"/>
          <w:sz w:val="22"/>
          <w:szCs w:val="22"/>
        </w:rPr>
        <w:br/>
        <w:t xml:space="preserve">Il ne peut être diffusé, cité ou reproduit sans l’accord écrit de </w:t>
      </w:r>
      <w:proofErr w:type="spellStart"/>
      <w:r w:rsidRPr="00956011">
        <w:rPr>
          <w:rFonts w:asciiTheme="minorHAnsi" w:hAnsiTheme="minorHAnsi"/>
          <w:sz w:val="22"/>
          <w:szCs w:val="22"/>
        </w:rPr>
        <w:t>Peace</w:t>
      </w:r>
      <w:proofErr w:type="spellEnd"/>
      <w:r w:rsidRPr="00956011">
        <w:rPr>
          <w:rFonts w:asciiTheme="minorHAnsi" w:hAnsiTheme="minorHAnsi"/>
          <w:sz w:val="22"/>
          <w:szCs w:val="22"/>
        </w:rPr>
        <w:t xml:space="preserve"> &amp; </w:t>
      </w:r>
      <w:proofErr w:type="spellStart"/>
      <w:r w:rsidRPr="00956011">
        <w:rPr>
          <w:rFonts w:asciiTheme="minorHAnsi" w:hAnsiTheme="minorHAnsi"/>
          <w:sz w:val="22"/>
          <w:szCs w:val="22"/>
        </w:rPr>
        <w:t>Development</w:t>
      </w:r>
      <w:proofErr w:type="spellEnd"/>
      <w:r w:rsidRPr="00956011">
        <w:rPr>
          <w:rFonts w:asciiTheme="minorHAnsi" w:hAnsiTheme="minorHAnsi"/>
          <w:sz w:val="22"/>
          <w:szCs w:val="22"/>
        </w:rPr>
        <w:t xml:space="preserve"> Watch RCA.</w:t>
      </w:r>
    </w:p>
    <w:p w14:paraId="0AEE04C8" w14:textId="77777777" w:rsidR="00956011" w:rsidRPr="00956011" w:rsidRDefault="00956011" w:rsidP="00956011">
      <w:pPr>
        <w:pStyle w:val="NormalWeb"/>
        <w:rPr>
          <w:rFonts w:asciiTheme="minorHAnsi" w:hAnsiTheme="minorHAnsi"/>
          <w:sz w:val="22"/>
          <w:szCs w:val="22"/>
        </w:rPr>
      </w:pPr>
      <w:r w:rsidRPr="00956011">
        <w:rPr>
          <w:rFonts w:asciiTheme="minorHAnsi" w:hAnsiTheme="minorHAnsi"/>
          <w:sz w:val="22"/>
          <w:szCs w:val="22"/>
        </w:rPr>
        <w:t>L’analyse présentée repose sur des données recueillies avant l’ouverture officielle de la campagne électorale de décembre 2025.</w:t>
      </w:r>
      <w:r w:rsidRPr="00956011">
        <w:rPr>
          <w:rFonts w:asciiTheme="minorHAnsi" w:hAnsiTheme="minorHAnsi"/>
          <w:sz w:val="22"/>
          <w:szCs w:val="22"/>
        </w:rPr>
        <w:br/>
        <w:t>Elle n’a pas vocation à commenter la compétition politique, à influencer les choix électoraux ou à prendre position vis-à-vis d’acteurs spécifiques. Elle vise uniquement à éclairer des dynamiques informationnelles structurelles observées sur le terrain.</w:t>
      </w:r>
    </w:p>
    <w:p w14:paraId="683A10D8" w14:textId="77777777" w:rsidR="00956011" w:rsidRPr="00956011" w:rsidRDefault="00956011" w:rsidP="00956011">
      <w:pPr>
        <w:pStyle w:val="NormalWeb"/>
        <w:rPr>
          <w:rFonts w:asciiTheme="minorHAnsi" w:hAnsiTheme="minorHAnsi"/>
          <w:sz w:val="22"/>
          <w:szCs w:val="22"/>
        </w:rPr>
      </w:pPr>
      <w:r w:rsidRPr="00956011">
        <w:rPr>
          <w:rFonts w:asciiTheme="minorHAnsi" w:hAnsiTheme="minorHAnsi"/>
          <w:sz w:val="22"/>
          <w:szCs w:val="22"/>
        </w:rPr>
        <w:t>Toute utilisation de ce rapport doit respecter son objectif strictement analytique et non partisan.</w:t>
      </w:r>
    </w:p>
    <w:p w14:paraId="16A52469" w14:textId="77777777" w:rsidR="00956011" w:rsidRDefault="00956011" w:rsidP="00956011">
      <w:pPr>
        <w:pStyle w:val="NormalWeb"/>
        <w:rPr>
          <w:rStyle w:val="lev"/>
          <w:rFonts w:asciiTheme="minorHAnsi" w:hAnsiTheme="minorHAnsi"/>
          <w:sz w:val="22"/>
          <w:szCs w:val="22"/>
          <w:lang w:val="en-US"/>
        </w:rPr>
      </w:pPr>
      <w:r w:rsidRPr="00956011">
        <w:rPr>
          <w:rStyle w:val="lev"/>
          <w:rFonts w:asciiTheme="minorHAnsi" w:hAnsiTheme="minorHAnsi"/>
          <w:sz w:val="22"/>
          <w:szCs w:val="22"/>
          <w:lang w:val="en-US"/>
        </w:rPr>
        <w:t>Peace &amp; Development Watch RCA – 2025</w:t>
      </w:r>
    </w:p>
    <w:p w14:paraId="2D5C4990" w14:textId="77777777" w:rsidR="00956011" w:rsidRDefault="00956011" w:rsidP="00956011">
      <w:pPr>
        <w:pStyle w:val="NormalWeb"/>
        <w:rPr>
          <w:rStyle w:val="lev"/>
          <w:rFonts w:asciiTheme="minorHAnsi" w:hAnsiTheme="minorHAnsi"/>
          <w:sz w:val="22"/>
          <w:szCs w:val="22"/>
          <w:lang w:val="en-US"/>
        </w:rPr>
      </w:pPr>
    </w:p>
    <w:p w14:paraId="37DF891A" w14:textId="77777777" w:rsidR="00956011" w:rsidRDefault="00956011" w:rsidP="00956011">
      <w:pPr>
        <w:pStyle w:val="NormalWeb"/>
        <w:rPr>
          <w:rStyle w:val="lev"/>
          <w:rFonts w:asciiTheme="minorHAnsi" w:hAnsiTheme="minorHAnsi"/>
          <w:sz w:val="22"/>
          <w:szCs w:val="22"/>
          <w:lang w:val="en-US"/>
        </w:rPr>
      </w:pPr>
    </w:p>
    <w:p w14:paraId="7D6A0DF5" w14:textId="77777777" w:rsidR="00956011" w:rsidRDefault="00956011" w:rsidP="00956011">
      <w:pPr>
        <w:pStyle w:val="NormalWeb"/>
        <w:rPr>
          <w:rStyle w:val="lev"/>
          <w:rFonts w:asciiTheme="minorHAnsi" w:hAnsiTheme="minorHAnsi"/>
          <w:sz w:val="22"/>
          <w:szCs w:val="22"/>
          <w:lang w:val="en-US"/>
        </w:rPr>
      </w:pPr>
    </w:p>
    <w:p w14:paraId="2ED6BC77" w14:textId="77777777" w:rsidR="00956011" w:rsidRDefault="00956011" w:rsidP="00956011">
      <w:pPr>
        <w:pStyle w:val="NormalWeb"/>
        <w:rPr>
          <w:rStyle w:val="lev"/>
          <w:rFonts w:asciiTheme="minorHAnsi" w:hAnsiTheme="minorHAnsi"/>
          <w:sz w:val="22"/>
          <w:szCs w:val="22"/>
          <w:lang w:val="en-US"/>
        </w:rPr>
      </w:pPr>
    </w:p>
    <w:p w14:paraId="2EBA6C4A" w14:textId="77777777" w:rsidR="00956011" w:rsidRDefault="00956011" w:rsidP="00956011">
      <w:pPr>
        <w:pStyle w:val="NormalWeb"/>
        <w:rPr>
          <w:rStyle w:val="lev"/>
          <w:rFonts w:asciiTheme="minorHAnsi" w:hAnsiTheme="minorHAnsi"/>
          <w:sz w:val="22"/>
          <w:szCs w:val="22"/>
          <w:lang w:val="en-US"/>
        </w:rPr>
      </w:pPr>
    </w:p>
    <w:p w14:paraId="6B9C0DE2" w14:textId="77777777" w:rsidR="00956011" w:rsidRDefault="00956011" w:rsidP="00956011">
      <w:pPr>
        <w:pStyle w:val="NormalWeb"/>
        <w:rPr>
          <w:rStyle w:val="lev"/>
          <w:rFonts w:asciiTheme="minorHAnsi" w:hAnsiTheme="minorHAnsi"/>
          <w:sz w:val="22"/>
          <w:szCs w:val="22"/>
          <w:lang w:val="en-US"/>
        </w:rPr>
      </w:pPr>
    </w:p>
    <w:p w14:paraId="6194824A" w14:textId="77777777" w:rsidR="00956011" w:rsidRDefault="00956011" w:rsidP="00956011">
      <w:pPr>
        <w:pStyle w:val="NormalWeb"/>
        <w:rPr>
          <w:rStyle w:val="lev"/>
          <w:rFonts w:asciiTheme="minorHAnsi" w:hAnsiTheme="minorHAnsi"/>
          <w:sz w:val="22"/>
          <w:szCs w:val="22"/>
          <w:lang w:val="en-US"/>
        </w:rPr>
      </w:pPr>
    </w:p>
    <w:p w14:paraId="6BCCC7ED" w14:textId="77777777" w:rsidR="00956011" w:rsidRDefault="00956011" w:rsidP="00956011">
      <w:pPr>
        <w:pStyle w:val="NormalWeb"/>
        <w:rPr>
          <w:rStyle w:val="lev"/>
          <w:rFonts w:asciiTheme="minorHAnsi" w:hAnsiTheme="minorHAnsi"/>
          <w:sz w:val="22"/>
          <w:szCs w:val="22"/>
          <w:lang w:val="en-US"/>
        </w:rPr>
      </w:pPr>
    </w:p>
    <w:p w14:paraId="2F43DD49" w14:textId="77777777" w:rsidR="00956011" w:rsidRDefault="00956011" w:rsidP="00956011">
      <w:pPr>
        <w:pStyle w:val="NormalWeb"/>
        <w:rPr>
          <w:rStyle w:val="lev"/>
          <w:rFonts w:asciiTheme="minorHAnsi" w:hAnsiTheme="minorHAnsi"/>
          <w:sz w:val="22"/>
          <w:szCs w:val="22"/>
          <w:lang w:val="en-US"/>
        </w:rPr>
      </w:pPr>
    </w:p>
    <w:p w14:paraId="38C9E762" w14:textId="77777777" w:rsidR="00956011" w:rsidRDefault="00956011" w:rsidP="00956011">
      <w:pPr>
        <w:pStyle w:val="NormalWeb"/>
        <w:rPr>
          <w:rStyle w:val="lev"/>
          <w:rFonts w:asciiTheme="minorHAnsi" w:hAnsiTheme="minorHAnsi"/>
          <w:sz w:val="22"/>
          <w:szCs w:val="22"/>
          <w:lang w:val="en-US"/>
        </w:rPr>
      </w:pPr>
    </w:p>
    <w:p w14:paraId="499CAF9A" w14:textId="77777777" w:rsidR="00956011" w:rsidRDefault="00956011" w:rsidP="00956011">
      <w:pPr>
        <w:pStyle w:val="NormalWeb"/>
        <w:rPr>
          <w:rStyle w:val="lev"/>
          <w:rFonts w:asciiTheme="minorHAnsi" w:hAnsiTheme="minorHAnsi"/>
          <w:sz w:val="22"/>
          <w:szCs w:val="22"/>
          <w:lang w:val="en-US"/>
        </w:rPr>
      </w:pPr>
    </w:p>
    <w:p w14:paraId="3B313C82" w14:textId="77777777" w:rsidR="00956011" w:rsidRDefault="00956011" w:rsidP="00956011">
      <w:pPr>
        <w:pStyle w:val="NormalWeb"/>
        <w:rPr>
          <w:rStyle w:val="lev"/>
          <w:rFonts w:asciiTheme="minorHAnsi" w:hAnsiTheme="minorHAnsi"/>
          <w:sz w:val="22"/>
          <w:szCs w:val="22"/>
          <w:lang w:val="en-US"/>
        </w:rPr>
      </w:pPr>
    </w:p>
    <w:p w14:paraId="5DE980F9" w14:textId="77777777" w:rsidR="00956011" w:rsidRDefault="00956011" w:rsidP="00956011">
      <w:pPr>
        <w:pStyle w:val="NormalWeb"/>
        <w:rPr>
          <w:rStyle w:val="lev"/>
          <w:rFonts w:asciiTheme="minorHAnsi" w:hAnsiTheme="minorHAnsi"/>
          <w:sz w:val="22"/>
          <w:szCs w:val="22"/>
          <w:lang w:val="en-US"/>
        </w:rPr>
      </w:pPr>
    </w:p>
    <w:p w14:paraId="069D8CB6" w14:textId="77777777" w:rsidR="00956011" w:rsidRDefault="00956011" w:rsidP="00956011">
      <w:pPr>
        <w:pStyle w:val="NormalWeb"/>
        <w:rPr>
          <w:rStyle w:val="lev"/>
          <w:rFonts w:asciiTheme="minorHAnsi" w:hAnsiTheme="minorHAnsi"/>
          <w:sz w:val="22"/>
          <w:szCs w:val="22"/>
          <w:lang w:val="en-US"/>
        </w:rPr>
      </w:pPr>
    </w:p>
    <w:p w14:paraId="68BCEB21" w14:textId="77777777" w:rsidR="00956011" w:rsidRDefault="00956011" w:rsidP="00956011">
      <w:pPr>
        <w:pStyle w:val="NormalWeb"/>
        <w:rPr>
          <w:rStyle w:val="lev"/>
          <w:rFonts w:asciiTheme="minorHAnsi" w:hAnsiTheme="minorHAnsi"/>
          <w:sz w:val="22"/>
          <w:szCs w:val="22"/>
          <w:lang w:val="en-US"/>
        </w:rPr>
      </w:pPr>
    </w:p>
    <w:p w14:paraId="502C4393" w14:textId="77777777" w:rsidR="00956011" w:rsidRDefault="00956011" w:rsidP="00956011">
      <w:pPr>
        <w:pStyle w:val="NormalWeb"/>
        <w:rPr>
          <w:rStyle w:val="lev"/>
          <w:rFonts w:asciiTheme="minorHAnsi" w:hAnsiTheme="minorHAnsi"/>
          <w:sz w:val="22"/>
          <w:szCs w:val="22"/>
          <w:lang w:val="en-US"/>
        </w:rPr>
      </w:pPr>
    </w:p>
    <w:p w14:paraId="60A41B98" w14:textId="77777777" w:rsidR="00956011" w:rsidRPr="00956011" w:rsidRDefault="00956011" w:rsidP="00956011">
      <w:pPr>
        <w:pStyle w:val="NormalWeb"/>
        <w:rPr>
          <w:rFonts w:asciiTheme="minorHAnsi" w:hAnsiTheme="minorHAnsi"/>
          <w:sz w:val="22"/>
          <w:szCs w:val="22"/>
          <w:lang w:val="en-US"/>
        </w:rPr>
      </w:pPr>
    </w:p>
    <w:p w14:paraId="0143CB06" w14:textId="3DC7D9BF" w:rsidR="00CC6383" w:rsidRPr="00956011" w:rsidRDefault="00D65DBF" w:rsidP="00D65DBF">
      <w:pPr>
        <w:pStyle w:val="Titre1"/>
        <w:rPr>
          <w:lang w:val="en-US"/>
        </w:rPr>
      </w:pPr>
      <w:bookmarkStart w:id="2" w:name="_Toc216678960"/>
      <w:r w:rsidRPr="00956011">
        <w:rPr>
          <w:rFonts w:eastAsia="Georgia"/>
          <w:lang w:val="en-US"/>
        </w:rPr>
        <w:t>RESUME EXECUTIF</w:t>
      </w:r>
      <w:bookmarkEnd w:id="0"/>
      <w:bookmarkEnd w:id="2"/>
    </w:p>
    <w:p w14:paraId="18444AA6" w14:textId="77777777" w:rsidR="008609CB" w:rsidRPr="008609CB" w:rsidRDefault="008609CB" w:rsidP="008609CB">
      <w:pPr>
        <w:spacing w:after="210" w:line="300" w:lineRule="auto"/>
        <w:jc w:val="both"/>
        <w:rPr>
          <w:rFonts w:eastAsia="Georgia" w:cs="Georgia"/>
          <w:i/>
          <w:iCs/>
        </w:rPr>
      </w:pPr>
      <w:r w:rsidRPr="008609CB">
        <w:rPr>
          <w:rFonts w:eastAsia="Georgia" w:cs="Georgia"/>
          <w:i/>
          <w:iCs/>
        </w:rPr>
        <w:t>La République centrafricaine aborde les élections du 28 décembre 2025 dans un contexte d’urgence informationnelle inédit. La campagne officielle ne durant que quinze jours, les citoyens entrent dans la compétition électorale avec un déficit de clarté marqué, une forte exposition aux rumeurs sécuritaires, une prolifération de discours de haine, une désinformation sexiste persistante et une méfiance généralisée envers les institutions. Dans un tel environnement, l’intégrité du scrutin dépend autant du déroulement technique des opérations que de la qualité du paysage informationnel qui les entoure.</w:t>
      </w:r>
    </w:p>
    <w:p w14:paraId="0EF092B5" w14:textId="77777777" w:rsidR="008609CB" w:rsidRPr="008609CB" w:rsidRDefault="008609CB" w:rsidP="008609CB">
      <w:pPr>
        <w:spacing w:after="210" w:line="300" w:lineRule="auto"/>
        <w:jc w:val="both"/>
        <w:rPr>
          <w:rFonts w:eastAsia="Georgia" w:cs="Georgia"/>
          <w:i/>
          <w:iCs/>
        </w:rPr>
      </w:pPr>
      <w:r w:rsidRPr="008609CB">
        <w:rPr>
          <w:rFonts w:eastAsia="Georgia" w:cs="Georgia"/>
          <w:i/>
          <w:iCs/>
        </w:rPr>
        <w:t xml:space="preserve">Ce rapport s’appuie sur une méthodologie combinant quatre sources complémentaires : une enquête quantitative à Bouar, des matériaux qualitatifs recueillis dans plusieurs localités (Bangui, </w:t>
      </w:r>
      <w:proofErr w:type="spellStart"/>
      <w:r w:rsidRPr="008609CB">
        <w:rPr>
          <w:rFonts w:eastAsia="Georgia" w:cs="Georgia"/>
          <w:i/>
          <w:iCs/>
        </w:rPr>
        <w:t>Kaga</w:t>
      </w:r>
      <w:proofErr w:type="spellEnd"/>
      <w:r w:rsidRPr="008609CB">
        <w:rPr>
          <w:rFonts w:eastAsia="Georgia" w:cs="Georgia"/>
          <w:i/>
          <w:iCs/>
        </w:rPr>
        <w:t xml:space="preserve"> </w:t>
      </w:r>
      <w:proofErr w:type="spellStart"/>
      <w:r w:rsidRPr="008609CB">
        <w:rPr>
          <w:rFonts w:eastAsia="Georgia" w:cs="Georgia"/>
          <w:i/>
          <w:iCs/>
        </w:rPr>
        <w:t>Bandoro</w:t>
      </w:r>
      <w:proofErr w:type="spellEnd"/>
      <w:r w:rsidRPr="008609CB">
        <w:rPr>
          <w:rFonts w:eastAsia="Georgia" w:cs="Georgia"/>
          <w:i/>
          <w:iCs/>
        </w:rPr>
        <w:t>, Sibut et zones rurales), l’observation des débats publics au sein de l’initiative CAP RCA, et la capitalisation collective issue de la neuvième Journée de l’Observatoire. Cette triangulation permet de dépasser les lectures fragmentaires et de proposer une analyse cohérente des dynamiques informationnelles qui structurent la période électorale.</w:t>
      </w:r>
    </w:p>
    <w:p w14:paraId="3E38D969" w14:textId="77777777" w:rsidR="008609CB" w:rsidRPr="008609CB" w:rsidRDefault="008609CB" w:rsidP="008609CB">
      <w:pPr>
        <w:spacing w:after="210" w:line="300" w:lineRule="auto"/>
        <w:jc w:val="both"/>
        <w:rPr>
          <w:rFonts w:eastAsia="Georgia" w:cs="Georgia"/>
          <w:i/>
          <w:iCs/>
        </w:rPr>
      </w:pPr>
      <w:r w:rsidRPr="008609CB">
        <w:rPr>
          <w:rFonts w:eastAsia="Georgia" w:cs="Georgia"/>
          <w:i/>
          <w:iCs/>
        </w:rPr>
        <w:t>Les résultats croisés révèlent un système où la désinformation n’est plus perçue comme une anomalie, mais comme un élément courant de la vie politique. Une proportion significative des citoyens déclare être exposée à des contenus trompeurs ou hostiles ; la majorité estime que ces contenus influencent les comportements électoraux ; et les témoignages recueillis montrent comment certaines rumeurs sécuritaires, bien que non fondées, suffisent à déclencher des paniques locales, des déplacements préventifs ou des interruptions d’activités. Ces vulnérabilités s’ajoutent à une confusion procédurale marquée, notamment autour des modalités des élections groupées, et à une fracture territoriale profonde qui laisse les zones rurales fortement dépendantes d’un nombre limité de relais informationnels.</w:t>
      </w:r>
    </w:p>
    <w:p w14:paraId="25F958B4" w14:textId="77777777" w:rsidR="008609CB" w:rsidRPr="008609CB" w:rsidRDefault="008609CB" w:rsidP="008609CB">
      <w:pPr>
        <w:spacing w:after="210" w:line="300" w:lineRule="auto"/>
        <w:jc w:val="both"/>
        <w:rPr>
          <w:rFonts w:eastAsia="Georgia" w:cs="Georgia"/>
          <w:i/>
          <w:iCs/>
        </w:rPr>
      </w:pPr>
      <w:r w:rsidRPr="008609CB">
        <w:rPr>
          <w:rFonts w:eastAsia="Georgia" w:cs="Georgia"/>
          <w:i/>
          <w:iCs/>
        </w:rPr>
        <w:t>Le rapport documente également l’ampleur de la désinformation sexiste, qui s’attaque de manière ciblée aux femmes engagées en politique, en mobilisant des récits dégradants, des insinuations morales et des accusations visant à délégitimer leur participation. Ces attaques ne sont pas marginales : elles structurent la compétition électorale et affectent directement la représentativité politique.</w:t>
      </w:r>
    </w:p>
    <w:p w14:paraId="69CCB6C6" w14:textId="1FA2981A" w:rsidR="008609CB" w:rsidRPr="008609CB" w:rsidRDefault="008609CB" w:rsidP="008609CB">
      <w:pPr>
        <w:spacing w:after="210" w:line="300" w:lineRule="auto"/>
        <w:jc w:val="both"/>
        <w:rPr>
          <w:rFonts w:eastAsia="Georgia" w:cs="Georgia"/>
          <w:i/>
          <w:iCs/>
        </w:rPr>
      </w:pPr>
      <w:r w:rsidRPr="008609CB">
        <w:rPr>
          <w:rFonts w:eastAsia="Georgia" w:cs="Georgia"/>
          <w:i/>
          <w:iCs/>
        </w:rPr>
        <w:t xml:space="preserve">Comme le montrent les observations conduites dans les cadres de </w:t>
      </w:r>
      <w:r w:rsidR="005B2879">
        <w:rPr>
          <w:rFonts w:eastAsia="Georgia" w:cs="Georgia"/>
          <w:i/>
          <w:iCs/>
        </w:rPr>
        <w:t xml:space="preserve">l’initiative </w:t>
      </w:r>
      <w:r w:rsidRPr="008609CB">
        <w:rPr>
          <w:rFonts w:eastAsia="Georgia" w:cs="Georgia"/>
          <w:i/>
          <w:iCs/>
        </w:rPr>
        <w:t>CAP RCA</w:t>
      </w:r>
      <w:r w:rsidR="005B2879">
        <w:rPr>
          <w:rFonts w:eastAsia="Georgia" w:cs="Georgia"/>
          <w:i/>
          <w:iCs/>
        </w:rPr>
        <w:t xml:space="preserve"> porté par </w:t>
      </w:r>
      <w:proofErr w:type="spellStart"/>
      <w:r w:rsidR="005B2879">
        <w:rPr>
          <w:rFonts w:eastAsia="Georgia" w:cs="Georgia"/>
          <w:i/>
          <w:iCs/>
        </w:rPr>
        <w:t>Peace</w:t>
      </w:r>
      <w:proofErr w:type="spellEnd"/>
      <w:r w:rsidR="005B2879">
        <w:rPr>
          <w:rFonts w:eastAsia="Georgia" w:cs="Georgia"/>
          <w:i/>
          <w:iCs/>
        </w:rPr>
        <w:t xml:space="preserve"> and </w:t>
      </w:r>
      <w:proofErr w:type="spellStart"/>
      <w:r w:rsidR="005B2879">
        <w:rPr>
          <w:rFonts w:eastAsia="Georgia" w:cs="Georgia"/>
          <w:i/>
          <w:iCs/>
        </w:rPr>
        <w:t>Development</w:t>
      </w:r>
      <w:proofErr w:type="spellEnd"/>
      <w:r w:rsidR="005B2879">
        <w:rPr>
          <w:rFonts w:eastAsia="Georgia" w:cs="Georgia"/>
          <w:i/>
          <w:iCs/>
        </w:rPr>
        <w:t xml:space="preserve"> Watch</w:t>
      </w:r>
      <w:r w:rsidRPr="008609CB">
        <w:rPr>
          <w:rFonts w:eastAsia="Georgia" w:cs="Georgia"/>
          <w:i/>
          <w:iCs/>
        </w:rPr>
        <w:t xml:space="preserve"> et des focus groups, la circulation de l’information suit aujourd’hui un modèle hybride dans lequel oralité, radio et réseaux sociaux s’alimentent mutuellement. Une rumeur née dans un espace local circule en ligne, revient amplifiée dans les conversations quotidiennes et acquiert une forme d’authenticité par répétition. Dans un tel régime de vérité circulaire, les démentis tardifs perdent en efficacité, et la communication institutionnelle fragmentée laisse place à des récits concurrents.</w:t>
      </w:r>
    </w:p>
    <w:p w14:paraId="6D8CAB69" w14:textId="07E8E25A" w:rsidR="008609CB" w:rsidRPr="008609CB" w:rsidRDefault="008609CB" w:rsidP="008609CB">
      <w:pPr>
        <w:spacing w:after="210" w:line="300" w:lineRule="auto"/>
        <w:jc w:val="both"/>
        <w:rPr>
          <w:rFonts w:eastAsia="Georgia" w:cs="Georgia"/>
          <w:i/>
          <w:iCs/>
        </w:rPr>
      </w:pPr>
      <w:r w:rsidRPr="008609CB">
        <w:rPr>
          <w:rFonts w:eastAsia="Georgia" w:cs="Georgia"/>
          <w:i/>
          <w:iCs/>
        </w:rPr>
        <w:t xml:space="preserve">Pour autant, le paysage observé n’est pas uniformément sombre. Plusieurs ressources de résilience apparaissent nettement : la forte participation déclarée aux activités </w:t>
      </w:r>
      <w:r w:rsidR="005B2879">
        <w:rPr>
          <w:rFonts w:eastAsia="Georgia" w:cs="Georgia"/>
          <w:i/>
          <w:iCs/>
        </w:rPr>
        <w:t>pré-</w:t>
      </w:r>
      <w:r w:rsidRPr="008609CB">
        <w:rPr>
          <w:rFonts w:eastAsia="Georgia" w:cs="Georgia"/>
          <w:i/>
          <w:iCs/>
        </w:rPr>
        <w:t xml:space="preserve">électorales, la confiance persistante dans les radios communautaires et certaines OSC, l’émergence d’espaces de débat structuré, et la capacité de nombreux citoyens </w:t>
      </w:r>
      <w:r w:rsidR="005B2879">
        <w:rPr>
          <w:rFonts w:eastAsia="Georgia" w:cs="Georgia"/>
          <w:i/>
          <w:iCs/>
        </w:rPr>
        <w:t>(</w:t>
      </w:r>
      <w:r w:rsidRPr="008609CB">
        <w:rPr>
          <w:rFonts w:eastAsia="Georgia" w:cs="Georgia"/>
          <w:i/>
          <w:iCs/>
        </w:rPr>
        <w:t xml:space="preserve"> jeunes notamment </w:t>
      </w:r>
      <w:r w:rsidR="005B2879">
        <w:rPr>
          <w:rFonts w:eastAsia="Georgia" w:cs="Georgia"/>
          <w:i/>
          <w:iCs/>
        </w:rPr>
        <w:t>)</w:t>
      </w:r>
      <w:r w:rsidRPr="008609CB">
        <w:rPr>
          <w:rFonts w:eastAsia="Georgia" w:cs="Georgia"/>
          <w:i/>
          <w:iCs/>
        </w:rPr>
        <w:t xml:space="preserve"> à questionner, recouper ou relativiser les informations reçues. Ces éléments constituent des leviers réels, mobilisables même dans un délai restreint.</w:t>
      </w:r>
    </w:p>
    <w:p w14:paraId="4898C10C" w14:textId="0F75612D" w:rsidR="008609CB" w:rsidRPr="008609CB" w:rsidRDefault="008609CB" w:rsidP="008609CB">
      <w:pPr>
        <w:spacing w:after="210" w:line="300" w:lineRule="auto"/>
        <w:jc w:val="both"/>
        <w:rPr>
          <w:rFonts w:eastAsia="Georgia" w:cs="Georgia"/>
          <w:i/>
          <w:iCs/>
        </w:rPr>
      </w:pPr>
      <w:r w:rsidRPr="008609CB">
        <w:rPr>
          <w:rFonts w:eastAsia="Georgia" w:cs="Georgia"/>
          <w:i/>
          <w:iCs/>
        </w:rPr>
        <w:t>Au regard de ces dynamiques, les réponses possibles ne relèvent ni de dispositifs nouveaux ni de transformations profondes, mais d’un ensemble de mesures minimales capables de stabiliser l’environnement informationnel</w:t>
      </w:r>
      <w:r w:rsidR="00D65DBF">
        <w:rPr>
          <w:rFonts w:eastAsia="Georgia" w:cs="Georgia"/>
          <w:i/>
          <w:iCs/>
        </w:rPr>
        <w:t xml:space="preserve"> lo</w:t>
      </w:r>
      <w:r w:rsidRPr="008609CB">
        <w:rPr>
          <w:rFonts w:eastAsia="Georgia" w:cs="Georgia"/>
          <w:i/>
          <w:iCs/>
        </w:rPr>
        <w:t>r</w:t>
      </w:r>
      <w:r w:rsidR="00D65DBF">
        <w:rPr>
          <w:rFonts w:eastAsia="Georgia" w:cs="Georgia"/>
          <w:i/>
          <w:iCs/>
        </w:rPr>
        <w:t>s de tous le processus</w:t>
      </w:r>
      <w:r w:rsidRPr="008609CB">
        <w:rPr>
          <w:rFonts w:eastAsia="Georgia" w:cs="Georgia"/>
          <w:i/>
          <w:iCs/>
        </w:rPr>
        <w:t>. Il s’agit notamment de restaurer une parole institutionnelle simple et régulière, de diffuser un socle commun de messages standardisés, d’adopter une hiérarchisation claire des rumeurs pour ajuster les réponses, de reconnaître explicitement la désinformation sexiste comme un risque électoral, et de s’appuyer sur les relais sociaux réels pour traduire les messages officiels dans un langage accessible et immédiatement compréhensible.</w:t>
      </w:r>
    </w:p>
    <w:p w14:paraId="2732C466" w14:textId="77777777" w:rsidR="008609CB" w:rsidRPr="008609CB" w:rsidRDefault="008609CB" w:rsidP="008609CB">
      <w:pPr>
        <w:spacing w:after="210" w:line="300" w:lineRule="auto"/>
        <w:jc w:val="both"/>
        <w:rPr>
          <w:rFonts w:eastAsia="Georgia" w:cs="Georgia"/>
          <w:i/>
          <w:iCs/>
        </w:rPr>
      </w:pPr>
      <w:r w:rsidRPr="008609CB">
        <w:rPr>
          <w:rFonts w:eastAsia="Georgia" w:cs="Georgia"/>
          <w:i/>
          <w:iCs/>
        </w:rPr>
        <w:t>Ces recommandations ne prétendent pas éliminer les risques ; elles visent à prévenir leur amplification durant la courte séquence électorale. Elles reposent sur un principe central : dans un environnement fragile, la stabilité de l’information ne dépend pas de la sophistication des dispositifs, mais de la cohérence, de la prévisibilité et de la proximité des acteurs qui la portent.</w:t>
      </w:r>
    </w:p>
    <w:p w14:paraId="42B54041" w14:textId="77777777" w:rsidR="00AD6F2C" w:rsidRDefault="00AD6F2C" w:rsidP="00681902">
      <w:pPr>
        <w:spacing w:after="210"/>
        <w:jc w:val="both"/>
        <w:rPr>
          <w:rFonts w:eastAsia="Georgia" w:cs="Georgia"/>
          <w:i/>
          <w:iCs/>
        </w:rPr>
      </w:pPr>
    </w:p>
    <w:p w14:paraId="57222820" w14:textId="77777777" w:rsidR="00AD6F2C" w:rsidRDefault="00AD6F2C" w:rsidP="00681902">
      <w:pPr>
        <w:spacing w:after="210"/>
        <w:jc w:val="both"/>
        <w:rPr>
          <w:rFonts w:eastAsia="Georgia" w:cs="Georgia"/>
          <w:i/>
          <w:iCs/>
        </w:rPr>
      </w:pPr>
    </w:p>
    <w:p w14:paraId="1C1EA4DF" w14:textId="77777777" w:rsidR="00AD6F2C" w:rsidRDefault="00AD6F2C" w:rsidP="00681902">
      <w:pPr>
        <w:spacing w:after="210"/>
        <w:jc w:val="both"/>
        <w:rPr>
          <w:rFonts w:eastAsia="Georgia" w:cs="Georgia"/>
          <w:i/>
          <w:iCs/>
        </w:rPr>
      </w:pPr>
    </w:p>
    <w:p w14:paraId="38DE59AA" w14:textId="77777777" w:rsidR="00AD6F2C" w:rsidRDefault="00AD6F2C" w:rsidP="00681902">
      <w:pPr>
        <w:spacing w:after="210"/>
        <w:jc w:val="both"/>
        <w:rPr>
          <w:rFonts w:eastAsia="Georgia" w:cs="Georgia"/>
          <w:i/>
          <w:iCs/>
        </w:rPr>
      </w:pPr>
    </w:p>
    <w:p w14:paraId="229304A7" w14:textId="77777777" w:rsidR="00AD6F2C" w:rsidRDefault="00AD6F2C" w:rsidP="00681902">
      <w:pPr>
        <w:spacing w:after="210"/>
        <w:jc w:val="both"/>
        <w:rPr>
          <w:rFonts w:eastAsia="Georgia" w:cs="Georgia"/>
          <w:i/>
          <w:iCs/>
        </w:rPr>
      </w:pPr>
    </w:p>
    <w:p w14:paraId="5D3F0AD7" w14:textId="77777777" w:rsidR="008B1F8A" w:rsidRDefault="008B1F8A" w:rsidP="00681902">
      <w:pPr>
        <w:spacing w:after="210"/>
        <w:jc w:val="both"/>
        <w:rPr>
          <w:rFonts w:eastAsia="Georgia" w:cs="Georgia"/>
          <w:i/>
          <w:iCs/>
        </w:rPr>
      </w:pPr>
    </w:p>
    <w:p w14:paraId="5BC98155" w14:textId="77777777" w:rsidR="008B1F8A" w:rsidRDefault="008B1F8A" w:rsidP="00681902">
      <w:pPr>
        <w:spacing w:after="210"/>
        <w:jc w:val="both"/>
        <w:rPr>
          <w:rFonts w:eastAsia="Georgia" w:cs="Georgia"/>
          <w:i/>
          <w:iCs/>
        </w:rPr>
      </w:pPr>
    </w:p>
    <w:p w14:paraId="49FDD32C" w14:textId="77777777" w:rsidR="008B1F8A" w:rsidRDefault="008B1F8A" w:rsidP="00681902">
      <w:pPr>
        <w:spacing w:after="210"/>
        <w:jc w:val="both"/>
        <w:rPr>
          <w:rFonts w:eastAsia="Georgia" w:cs="Georgia"/>
          <w:i/>
          <w:iCs/>
        </w:rPr>
      </w:pPr>
    </w:p>
    <w:p w14:paraId="6FC7B0B9" w14:textId="77777777" w:rsidR="008B1F8A" w:rsidRDefault="008B1F8A" w:rsidP="00681902">
      <w:pPr>
        <w:spacing w:after="210"/>
        <w:jc w:val="both"/>
        <w:rPr>
          <w:rFonts w:eastAsia="Georgia" w:cs="Georgia"/>
          <w:i/>
          <w:iCs/>
        </w:rPr>
      </w:pPr>
    </w:p>
    <w:p w14:paraId="0B8CC969" w14:textId="77777777" w:rsidR="008B1F8A" w:rsidRDefault="008B1F8A" w:rsidP="00681902">
      <w:pPr>
        <w:spacing w:after="210"/>
        <w:jc w:val="both"/>
        <w:rPr>
          <w:rFonts w:eastAsia="Georgia" w:cs="Georgia"/>
          <w:i/>
          <w:iCs/>
        </w:rPr>
      </w:pPr>
    </w:p>
    <w:p w14:paraId="64837286" w14:textId="77777777" w:rsidR="008B1F8A" w:rsidRDefault="008B1F8A" w:rsidP="00681902">
      <w:pPr>
        <w:spacing w:after="210"/>
        <w:jc w:val="both"/>
        <w:rPr>
          <w:rFonts w:eastAsia="Georgia" w:cs="Georgia"/>
          <w:i/>
          <w:iCs/>
        </w:rPr>
      </w:pPr>
    </w:p>
    <w:p w14:paraId="62215E8B" w14:textId="77777777" w:rsidR="008B1F8A" w:rsidRDefault="008B1F8A" w:rsidP="00681902">
      <w:pPr>
        <w:spacing w:after="210"/>
        <w:jc w:val="both"/>
        <w:rPr>
          <w:rFonts w:eastAsia="Georgia" w:cs="Georgia"/>
          <w:i/>
          <w:iCs/>
        </w:rPr>
      </w:pPr>
    </w:p>
    <w:p w14:paraId="1EF5D0B5" w14:textId="77777777" w:rsidR="008B1F8A" w:rsidRDefault="008B1F8A" w:rsidP="00681902">
      <w:pPr>
        <w:spacing w:after="210"/>
        <w:jc w:val="both"/>
        <w:rPr>
          <w:rFonts w:eastAsia="Georgia" w:cs="Georgia"/>
          <w:i/>
          <w:iCs/>
        </w:rPr>
      </w:pPr>
    </w:p>
    <w:p w14:paraId="10EF51DB" w14:textId="77777777" w:rsidR="008B1F8A" w:rsidRDefault="008B1F8A" w:rsidP="00681902">
      <w:pPr>
        <w:spacing w:after="210"/>
        <w:jc w:val="both"/>
        <w:rPr>
          <w:rFonts w:eastAsia="Georgia" w:cs="Georgia"/>
          <w:i/>
          <w:iCs/>
        </w:rPr>
      </w:pPr>
    </w:p>
    <w:p w14:paraId="208A1E79" w14:textId="77777777" w:rsidR="008B1F8A" w:rsidRDefault="008B1F8A" w:rsidP="00681902">
      <w:pPr>
        <w:spacing w:after="210"/>
        <w:jc w:val="both"/>
        <w:rPr>
          <w:rFonts w:eastAsia="Georgia" w:cs="Georgia"/>
          <w:i/>
          <w:iCs/>
        </w:rPr>
      </w:pPr>
    </w:p>
    <w:p w14:paraId="5C7DE232" w14:textId="11B6FAC7" w:rsidR="00CC6383" w:rsidRPr="003C3977" w:rsidRDefault="00CA0697" w:rsidP="00D65DBF">
      <w:pPr>
        <w:pStyle w:val="Titre1"/>
      </w:pPr>
      <w:bookmarkStart w:id="3" w:name="bm_1_introduction_et_contexte"/>
      <w:bookmarkStart w:id="4" w:name="_Toc216678961"/>
      <w:r w:rsidRPr="003C3977">
        <w:t xml:space="preserve">INTRODUCTION </w:t>
      </w:r>
      <w:r>
        <w:t>&amp;</w:t>
      </w:r>
      <w:r w:rsidRPr="003C3977">
        <w:t xml:space="preserve"> CONTEXTE</w:t>
      </w:r>
      <w:bookmarkEnd w:id="3"/>
      <w:bookmarkEnd w:id="4"/>
    </w:p>
    <w:p w14:paraId="5A5047D8" w14:textId="77777777" w:rsidR="00957AE7" w:rsidRPr="00957AE7" w:rsidRDefault="00957AE7" w:rsidP="00957AE7">
      <w:pPr>
        <w:spacing w:after="210"/>
        <w:jc w:val="both"/>
        <w:rPr>
          <w:rFonts w:eastAsia="Georgia" w:cs="Georgia"/>
        </w:rPr>
      </w:pPr>
      <w:r w:rsidRPr="00957AE7">
        <w:rPr>
          <w:rFonts w:eastAsia="Georgia" w:cs="Georgia"/>
        </w:rPr>
        <w:t>L’intégrité électorale ne dépend pas seulement de la logistique du vote, mais aussi de la qualité de l’information dont disposent les citoyens pour se faire une opinion. En République centrafricaine, cette dimension est décisive : plus d’une décennie de crises a entamé la confiance dans les institutions, l’accès au numérique reste inégal, et la radio comme l’oralité demeurent les premiers vecteurs d’information.</w:t>
      </w:r>
    </w:p>
    <w:p w14:paraId="54E1112B" w14:textId="4D2FB7D1" w:rsidR="00957AE7" w:rsidRPr="00957AE7" w:rsidRDefault="00957AE7" w:rsidP="00957AE7">
      <w:pPr>
        <w:spacing w:after="210"/>
        <w:jc w:val="both"/>
        <w:rPr>
          <w:rFonts w:eastAsia="Georgia" w:cs="Georgia"/>
        </w:rPr>
      </w:pPr>
      <w:r w:rsidRPr="00957AE7">
        <w:rPr>
          <w:rFonts w:eastAsia="Georgia" w:cs="Georgia"/>
        </w:rPr>
        <w:t xml:space="preserve">Les traumatismes passés renforcent le rôle de la rumeur, souvent considérée comme un système d’alerte plus rapide et plus proche que les annonces officielles. Le numérique accélère la diffusion de contenus sans en garantir la vérification, ce qui installe un climat d’incertitude où les récits </w:t>
      </w:r>
      <w:r w:rsidR="008B1F8A">
        <w:rPr>
          <w:rFonts w:eastAsia="Georgia" w:cs="Georgia"/>
        </w:rPr>
        <w:t>(</w:t>
      </w:r>
      <w:r w:rsidRPr="00957AE7">
        <w:rPr>
          <w:rFonts w:eastAsia="Georgia" w:cs="Georgia"/>
        </w:rPr>
        <w:t xml:space="preserve"> vrais ou faux </w:t>
      </w:r>
      <w:r w:rsidR="008B1F8A">
        <w:rPr>
          <w:rFonts w:eastAsia="Georgia" w:cs="Georgia"/>
        </w:rPr>
        <w:t>)</w:t>
      </w:r>
      <w:r w:rsidRPr="00957AE7">
        <w:rPr>
          <w:rFonts w:eastAsia="Georgia" w:cs="Georgia"/>
        </w:rPr>
        <w:t xml:space="preserve"> circulent plus vite que les démentis. L’urgence du calendrier de décembre 2025 accentue cette vulnérabilité : la campagne officielle laiss</w:t>
      </w:r>
      <w:r w:rsidR="008B1F8A">
        <w:rPr>
          <w:rFonts w:eastAsia="Georgia" w:cs="Georgia"/>
        </w:rPr>
        <w:t>e</w:t>
      </w:r>
      <w:r w:rsidRPr="00957AE7">
        <w:rPr>
          <w:rFonts w:eastAsia="Georgia" w:cs="Georgia"/>
        </w:rPr>
        <w:t xml:space="preserve"> très peu de temps pour clarifier les règles du jeu et répondre aux rumeurs, aux interprétations erronées et aux discours de haine.</w:t>
      </w:r>
    </w:p>
    <w:p w14:paraId="595C8772" w14:textId="05B3C4F1" w:rsidR="00957AE7" w:rsidRPr="00957AE7" w:rsidRDefault="00957AE7" w:rsidP="00957AE7">
      <w:pPr>
        <w:spacing w:after="210"/>
        <w:jc w:val="both"/>
        <w:rPr>
          <w:rFonts w:eastAsia="Georgia" w:cs="Georgia"/>
        </w:rPr>
      </w:pPr>
      <w:r w:rsidRPr="00957AE7">
        <w:rPr>
          <w:rFonts w:eastAsia="Georgia" w:cs="Georgia"/>
        </w:rPr>
        <w:t xml:space="preserve">Ce rapport cherche à répondre à une question centrale : quels sont les principaux risques informationnels pesant sur le scrutin de décembre 2025, et quelles réponses réalistes peuvent être mises en œuvre dans un délai </w:t>
      </w:r>
      <w:r w:rsidR="008B1F8A">
        <w:rPr>
          <w:rFonts w:eastAsia="Georgia" w:cs="Georgia"/>
        </w:rPr>
        <w:t>relativement court</w:t>
      </w:r>
      <w:r w:rsidRPr="00957AE7">
        <w:rPr>
          <w:rFonts w:eastAsia="Georgia" w:cs="Georgia"/>
        </w:rPr>
        <w:t xml:space="preserve"> ? Il ne prétend pas résoudre la crise informationnelle du pays, mais identifie les fragilités les plus critiques et les leviers d’action immédiats pour limiter la confusion et protéger la légitimité du processus.</w:t>
      </w:r>
    </w:p>
    <w:p w14:paraId="60790763" w14:textId="5B7DC350" w:rsidR="00CC6383" w:rsidRDefault="00957AE7" w:rsidP="00957AE7">
      <w:pPr>
        <w:pStyle w:val="Titre1"/>
        <w:rPr>
          <w:rFonts w:eastAsia="Georgia"/>
        </w:rPr>
      </w:pPr>
      <w:bookmarkStart w:id="5" w:name="bm_2_méthodologie_synthétique"/>
      <w:bookmarkStart w:id="6" w:name="_Toc216678962"/>
      <w:r w:rsidRPr="003C3977">
        <w:rPr>
          <w:rFonts w:eastAsia="Georgia"/>
        </w:rPr>
        <w:t>METHODOLOGIE</w:t>
      </w:r>
      <w:bookmarkEnd w:id="5"/>
      <w:bookmarkEnd w:id="6"/>
    </w:p>
    <w:p w14:paraId="122B7C55" w14:textId="7A234D69" w:rsidR="00681902" w:rsidRPr="00D65DBF" w:rsidRDefault="00CA0697" w:rsidP="00957AE7">
      <w:pPr>
        <w:pStyle w:val="Titre2"/>
      </w:pPr>
      <w:bookmarkStart w:id="7" w:name="_Toc216678963"/>
      <w:r w:rsidRPr="00D65DBF">
        <w:t>CADRE CONCEPTUEL</w:t>
      </w:r>
      <w:bookmarkEnd w:id="7"/>
    </w:p>
    <w:p w14:paraId="294D90D0" w14:textId="77777777" w:rsidR="00681902" w:rsidRPr="00681902" w:rsidRDefault="00681902" w:rsidP="00681902">
      <w:r w:rsidRPr="00681902">
        <w:t>Le rapport adopte une définition large des risques informationnels, en distinguant :</w:t>
      </w:r>
    </w:p>
    <w:p w14:paraId="1FB93D6D" w14:textId="77777777" w:rsidR="00681902" w:rsidRPr="00681902" w:rsidRDefault="00681902" w:rsidP="00681902">
      <w:pPr>
        <w:numPr>
          <w:ilvl w:val="0"/>
          <w:numId w:val="55"/>
        </w:numPr>
      </w:pPr>
      <w:r w:rsidRPr="00681902">
        <w:t>la </w:t>
      </w:r>
      <w:r w:rsidRPr="005B2879">
        <w:rPr>
          <w:i/>
          <w:iCs/>
        </w:rPr>
        <w:t>désinformation</w:t>
      </w:r>
      <w:r w:rsidRPr="00681902">
        <w:t>, production et diffusion intentionnelles de contenus faux ;</w:t>
      </w:r>
    </w:p>
    <w:p w14:paraId="20764B7A" w14:textId="77777777" w:rsidR="00681902" w:rsidRPr="00681902" w:rsidRDefault="00681902" w:rsidP="00681902">
      <w:pPr>
        <w:numPr>
          <w:ilvl w:val="0"/>
          <w:numId w:val="55"/>
        </w:numPr>
      </w:pPr>
      <w:r w:rsidRPr="00681902">
        <w:t>la </w:t>
      </w:r>
      <w:r w:rsidRPr="005B2879">
        <w:rPr>
          <w:i/>
          <w:iCs/>
        </w:rPr>
        <w:t>mésinformation</w:t>
      </w:r>
      <w:r w:rsidRPr="00681902">
        <w:t>, circulation involontaire d’informations inexactes ;</w:t>
      </w:r>
    </w:p>
    <w:p w14:paraId="753A48BB" w14:textId="77777777" w:rsidR="00681902" w:rsidRPr="00681902" w:rsidRDefault="00681902" w:rsidP="00681902">
      <w:pPr>
        <w:numPr>
          <w:ilvl w:val="0"/>
          <w:numId w:val="55"/>
        </w:numPr>
      </w:pPr>
      <w:r w:rsidRPr="00681902">
        <w:t>les </w:t>
      </w:r>
      <w:r w:rsidRPr="005B2879">
        <w:rPr>
          <w:i/>
          <w:iCs/>
        </w:rPr>
        <w:t>rumeurs sécuritaires</w:t>
      </w:r>
      <w:r w:rsidRPr="00681902">
        <w:t>, qui jouent un rôle d’alerte mais peuvent provoquer paniques et déplacements ;</w:t>
      </w:r>
    </w:p>
    <w:p w14:paraId="58051DBA" w14:textId="77777777" w:rsidR="00681902" w:rsidRPr="00681902" w:rsidRDefault="00681902" w:rsidP="00681902">
      <w:pPr>
        <w:numPr>
          <w:ilvl w:val="0"/>
          <w:numId w:val="55"/>
        </w:numPr>
      </w:pPr>
      <w:r w:rsidRPr="00681902">
        <w:t>les </w:t>
      </w:r>
      <w:r w:rsidRPr="005B2879">
        <w:rPr>
          <w:i/>
          <w:iCs/>
        </w:rPr>
        <w:t>discours de haine</w:t>
      </w:r>
      <w:r w:rsidRPr="00681902">
        <w:t>, qui polarisent et peuvent nourrir la violence ;</w:t>
      </w:r>
    </w:p>
    <w:p w14:paraId="575242B5" w14:textId="6AA6870E" w:rsidR="00681902" w:rsidRPr="00681902" w:rsidRDefault="00681902" w:rsidP="00681902">
      <w:pPr>
        <w:numPr>
          <w:ilvl w:val="0"/>
          <w:numId w:val="55"/>
        </w:numPr>
      </w:pPr>
      <w:r w:rsidRPr="00681902">
        <w:t>la </w:t>
      </w:r>
      <w:r w:rsidRPr="005B2879">
        <w:rPr>
          <w:i/>
          <w:iCs/>
        </w:rPr>
        <w:t>désinformation sexiste</w:t>
      </w:r>
      <w:r w:rsidR="005B2879">
        <w:rPr>
          <w:i/>
          <w:iCs/>
        </w:rPr>
        <w:t>,</w:t>
      </w:r>
      <w:r w:rsidRPr="00681902">
        <w:t xml:space="preserve"> forme spécifique de violence politique visant les femmes candidates.</w:t>
      </w:r>
    </w:p>
    <w:p w14:paraId="09D6074D" w14:textId="77777777" w:rsidR="00681902" w:rsidRPr="005B2879" w:rsidRDefault="00681902" w:rsidP="00681902">
      <w:pPr>
        <w:rPr>
          <w:b/>
          <w:bCs/>
          <w:color w:val="242852" w:themeColor="text2"/>
        </w:rPr>
      </w:pPr>
      <w:r w:rsidRPr="005B2879">
        <w:rPr>
          <w:b/>
          <w:bCs/>
          <w:color w:val="242852" w:themeColor="text2"/>
        </w:rPr>
        <w:t>L’enjeu principal est moins la simple exactitude des faits que la capacité collective à mener une compétition politique sans manipulation, peur instrumentalisée ni exclusion ciblée.</w:t>
      </w:r>
    </w:p>
    <w:p w14:paraId="72E2DDE0" w14:textId="77CD7807" w:rsidR="00681902" w:rsidRPr="00CA0697" w:rsidRDefault="00CA0697" w:rsidP="00957AE7">
      <w:pPr>
        <w:pStyle w:val="Titre2"/>
      </w:pPr>
      <w:bookmarkStart w:id="8" w:name="_Toc216678964"/>
      <w:r w:rsidRPr="00CA0697">
        <w:t>DISPOSITIF D’ENQUETE</w:t>
      </w:r>
      <w:bookmarkEnd w:id="8"/>
    </w:p>
    <w:p w14:paraId="0466D077" w14:textId="77777777" w:rsidR="00681902" w:rsidRPr="00681902" w:rsidRDefault="00681902" w:rsidP="00681902">
      <w:r w:rsidRPr="00681902">
        <w:t>L’analyse repose sur quatre sources complémentaires :</w:t>
      </w:r>
    </w:p>
    <w:p w14:paraId="775822E5" w14:textId="77777777" w:rsidR="00681902" w:rsidRPr="00681902" w:rsidRDefault="00681902" w:rsidP="00681902">
      <w:pPr>
        <w:numPr>
          <w:ilvl w:val="0"/>
          <w:numId w:val="56"/>
        </w:numPr>
      </w:pPr>
      <w:r w:rsidRPr="00681902">
        <w:rPr>
          <w:b/>
          <w:bCs/>
        </w:rPr>
        <w:t>Enquête quantitative à Bouar (400 répondants)</w:t>
      </w:r>
      <w:r w:rsidRPr="00681902">
        <w:br/>
        <w:t>Elle mesure l’exposition déclarée à la désinformation, la fréquence perçue des fausses informations, leur impact estimé sur les comportements électoraux, les pratiques de vérification, la confiance dans les sources et certaines formes de participation civique.</w:t>
      </w:r>
      <w:r w:rsidRPr="00681902">
        <w:br/>
        <w:t>Bouar a été choisie en raison de sa position de carrefour entre Bangui et les zones rurales, de son profil typique de ville secondaire (jeunesse, connectivité intermédiaire, importance du bouche</w:t>
      </w:r>
      <w:r w:rsidRPr="00681902">
        <w:noBreakHyphen/>
        <w:t>à</w:t>
      </w:r>
      <w:r w:rsidRPr="00681902">
        <w:noBreakHyphen/>
        <w:t>oreille) et de l’existence de partenariats locaux fiables facilitant la collecte.</w:t>
      </w:r>
    </w:p>
    <w:p w14:paraId="0B3F97D7" w14:textId="77777777" w:rsidR="00681902" w:rsidRPr="00681902" w:rsidRDefault="00681902" w:rsidP="00681902">
      <w:pPr>
        <w:numPr>
          <w:ilvl w:val="0"/>
          <w:numId w:val="56"/>
        </w:numPr>
      </w:pPr>
      <w:r w:rsidRPr="00681902">
        <w:rPr>
          <w:b/>
          <w:bCs/>
        </w:rPr>
        <w:t xml:space="preserve">Matériaux qualitatifs </w:t>
      </w:r>
      <w:proofErr w:type="spellStart"/>
      <w:r w:rsidRPr="00681902">
        <w:rPr>
          <w:b/>
          <w:bCs/>
        </w:rPr>
        <w:t>multi</w:t>
      </w:r>
      <w:r w:rsidRPr="00681902">
        <w:rPr>
          <w:b/>
          <w:bCs/>
        </w:rPr>
        <w:noBreakHyphen/>
        <w:t>sites</w:t>
      </w:r>
      <w:proofErr w:type="spellEnd"/>
      <w:r w:rsidRPr="00681902">
        <w:br/>
        <w:t xml:space="preserve">Des entretiens et discussions de groupe à Bangui, </w:t>
      </w:r>
      <w:proofErr w:type="spellStart"/>
      <w:r w:rsidRPr="00681902">
        <w:t>Kaga</w:t>
      </w:r>
      <w:proofErr w:type="spellEnd"/>
      <w:r w:rsidRPr="00681902">
        <w:t xml:space="preserve"> </w:t>
      </w:r>
      <w:proofErr w:type="spellStart"/>
      <w:r w:rsidRPr="00681902">
        <w:t>Bandoro</w:t>
      </w:r>
      <w:proofErr w:type="spellEnd"/>
      <w:r w:rsidRPr="00681902">
        <w:t>, Sibut et dans des localités rurales documentent les trajectoires de rumeurs, les logiques de croyance ou de doute, le rôle des leaders religieux et communautaires, l’articulation oralité/numérique et les formes de désinformation sexiste.</w:t>
      </w:r>
    </w:p>
    <w:p w14:paraId="21B0D545" w14:textId="77777777" w:rsidR="00681902" w:rsidRPr="00681902" w:rsidRDefault="00681902" w:rsidP="00681902">
      <w:pPr>
        <w:numPr>
          <w:ilvl w:val="0"/>
          <w:numId w:val="56"/>
        </w:numPr>
      </w:pPr>
      <w:r w:rsidRPr="00681902">
        <w:rPr>
          <w:b/>
          <w:bCs/>
        </w:rPr>
        <w:t>Observation du débat public via CAP RCA</w:t>
      </w:r>
      <w:r w:rsidRPr="00681902">
        <w:br/>
        <w:t>L’initiative CAP RCA, animée entre octobre et novembre 2025, offre un observatoire du débat électoral, des rumeurs récurrentes, des demandes de clarification et des tentatives spontanées de pédagogie et de correction dans des espaces physiques et numériques.</w:t>
      </w:r>
    </w:p>
    <w:p w14:paraId="17F27A75" w14:textId="77777777" w:rsidR="00681902" w:rsidRPr="00681902" w:rsidRDefault="00681902" w:rsidP="00681902">
      <w:pPr>
        <w:numPr>
          <w:ilvl w:val="0"/>
          <w:numId w:val="56"/>
        </w:numPr>
      </w:pPr>
      <w:r w:rsidRPr="00681902">
        <w:rPr>
          <w:b/>
          <w:bCs/>
        </w:rPr>
        <w:t>Neuvième Journée de l’Observatoire (18 novembre 2025)</w:t>
      </w:r>
      <w:r w:rsidRPr="00681902">
        <w:br/>
        <w:t>Cette rencontre a réuni une cinquantaine d’acteurs (OSC, médias, institutions, jeunes, partenaires) et mis en évidence la méconnaissance du Code électoral, la confusion autour des élections groupées, le déficit de communication institutionnelle et l’inquiétude face à la montée des rumeurs.</w:t>
      </w:r>
    </w:p>
    <w:p w14:paraId="4C508B6F" w14:textId="259C2D72" w:rsidR="00681902" w:rsidRPr="00CA0697" w:rsidRDefault="00CA0697" w:rsidP="00957AE7">
      <w:pPr>
        <w:pStyle w:val="Titre2"/>
      </w:pPr>
      <w:bookmarkStart w:id="9" w:name="_Toc216678965"/>
      <w:r w:rsidRPr="00CA0697">
        <w:t>PORTEE ET LIMITES</w:t>
      </w:r>
      <w:bookmarkEnd w:id="9"/>
    </w:p>
    <w:p w14:paraId="762033AC" w14:textId="7366E7CC" w:rsidR="00CC6383" w:rsidRDefault="00681902" w:rsidP="002824CB">
      <w:r w:rsidRPr="00681902">
        <w:t xml:space="preserve">L’objectif n’est pas de produire une photographie statistique nationale exhaustive, mais un diagnostic situé fondé sur des sites stratégiques, des regards croisés et une triangulation systématique des matériaux. La convergence entre les résultats de Bouar, les éléments qualitatifs, l’observation de CAP RCA et les échanges de la Journée de l’Observatoire donne une assise solide aux conclusions, sans prétendre </w:t>
      </w:r>
      <w:r w:rsidR="00D22C00" w:rsidRPr="00D22C00">
        <w:t>à la représentativité intégrale.</w:t>
      </w:r>
    </w:p>
    <w:p w14:paraId="225598E3" w14:textId="77777777" w:rsidR="00957AE7" w:rsidRDefault="00957AE7" w:rsidP="002824CB"/>
    <w:p w14:paraId="584A6ADD" w14:textId="77777777" w:rsidR="00957AE7" w:rsidRDefault="00957AE7" w:rsidP="002824CB"/>
    <w:p w14:paraId="5739C4F3" w14:textId="77777777" w:rsidR="00957AE7" w:rsidRDefault="00957AE7" w:rsidP="002824CB"/>
    <w:p w14:paraId="56E84F67" w14:textId="77777777" w:rsidR="00957AE7" w:rsidRDefault="00957AE7" w:rsidP="002824CB"/>
    <w:p w14:paraId="5895382C" w14:textId="56658F29" w:rsidR="00D22C00" w:rsidRPr="00AD6F2C" w:rsidRDefault="00CA0697" w:rsidP="00CA0697">
      <w:pPr>
        <w:pStyle w:val="Titre1"/>
      </w:pPr>
      <w:bookmarkStart w:id="10" w:name="bm_3_perceptions_des_populations_3fd705"/>
      <w:bookmarkStart w:id="11" w:name="_Toc216678966"/>
      <w:r w:rsidRPr="003C3977">
        <w:rPr>
          <w:rFonts w:eastAsia="Georgia"/>
        </w:rPr>
        <w:t>PERCEPTIONS DES POPULATIONS SUR LES RISQUES INFORMATIONNELS</w:t>
      </w:r>
      <w:bookmarkEnd w:id="11"/>
      <w:r w:rsidRPr="003C3977">
        <w:rPr>
          <w:rFonts w:eastAsia="Georgia"/>
        </w:rPr>
        <w:t xml:space="preserve"> </w:t>
      </w:r>
      <w:bookmarkEnd w:id="10"/>
    </w:p>
    <w:p w14:paraId="0D2CDD57" w14:textId="1C9EC1A0" w:rsidR="00856076" w:rsidRPr="00856076" w:rsidRDefault="00CA0697" w:rsidP="00CA0697">
      <w:pPr>
        <w:pStyle w:val="Titre2"/>
        <w:numPr>
          <w:ilvl w:val="0"/>
          <w:numId w:val="61"/>
        </w:numPr>
        <w:rPr>
          <w:rFonts w:eastAsia="Georgia"/>
        </w:rPr>
      </w:pPr>
      <w:bookmarkStart w:id="12" w:name="_Toc216678967"/>
      <w:r w:rsidRPr="00856076">
        <w:rPr>
          <w:rFonts w:eastAsia="Georgia"/>
        </w:rPr>
        <w:t>La désinformation devient « normale »</w:t>
      </w:r>
      <w:bookmarkEnd w:id="12"/>
    </w:p>
    <w:p w14:paraId="0D340290" w14:textId="2F3F0F00" w:rsidR="00856076" w:rsidRPr="00856076" w:rsidRDefault="00957AE7" w:rsidP="00856076">
      <w:pPr>
        <w:spacing w:after="210"/>
        <w:jc w:val="both"/>
        <w:rPr>
          <w:rFonts w:eastAsia="Georgia" w:cs="Georgia"/>
        </w:rPr>
      </w:pPr>
      <w:r>
        <w:rPr>
          <w:noProof/>
        </w:rPr>
        <mc:AlternateContent>
          <mc:Choice Requires="wps">
            <w:drawing>
              <wp:anchor distT="0" distB="0" distL="114300" distR="114300" simplePos="0" relativeHeight="251670528" behindDoc="1" locked="0" layoutInCell="1" allowOverlap="1" wp14:anchorId="212F37F0" wp14:editId="34F1D347">
                <wp:simplePos x="0" y="0"/>
                <wp:positionH relativeFrom="column">
                  <wp:posOffset>0</wp:posOffset>
                </wp:positionH>
                <wp:positionV relativeFrom="paragraph">
                  <wp:posOffset>2107565</wp:posOffset>
                </wp:positionV>
                <wp:extent cx="3638550" cy="635"/>
                <wp:effectExtent l="0" t="0" r="0" b="0"/>
                <wp:wrapTight wrapText="bothSides">
                  <wp:wrapPolygon edited="0">
                    <wp:start x="0" y="0"/>
                    <wp:lineTo x="0" y="21600"/>
                    <wp:lineTo x="21600" y="21600"/>
                    <wp:lineTo x="21600" y="0"/>
                  </wp:wrapPolygon>
                </wp:wrapTight>
                <wp:docPr id="123502426" name="Zone de texte 1"/>
                <wp:cNvGraphicFramePr/>
                <a:graphic xmlns:a="http://schemas.openxmlformats.org/drawingml/2006/main">
                  <a:graphicData uri="http://schemas.microsoft.com/office/word/2010/wordprocessingShape">
                    <wps:wsp>
                      <wps:cNvSpPr txBox="1"/>
                      <wps:spPr>
                        <a:xfrm>
                          <a:off x="0" y="0"/>
                          <a:ext cx="3638550" cy="635"/>
                        </a:xfrm>
                        <a:prstGeom prst="rect">
                          <a:avLst/>
                        </a:prstGeom>
                        <a:solidFill>
                          <a:prstClr val="white"/>
                        </a:solidFill>
                        <a:ln>
                          <a:noFill/>
                        </a:ln>
                      </wps:spPr>
                      <wps:txbx>
                        <w:txbxContent>
                          <w:p w14:paraId="3A547BDB" w14:textId="7BBDBB74" w:rsidR="00957AE7" w:rsidRPr="00676BB5" w:rsidRDefault="00957AE7" w:rsidP="00957AE7">
                            <w:pPr>
                              <w:pStyle w:val="Lgende"/>
                              <w:rPr>
                                <w:rFonts w:eastAsia="Georgia" w:cs="Georgia"/>
                                <w:noProof/>
                                <w:sz w:val="22"/>
                                <w:szCs w:val="22"/>
                              </w:rPr>
                            </w:pPr>
                            <w:r>
                              <w:rPr>
                                <w:rFonts w:eastAsia="Georgia" w:cs="Georgia"/>
                                <w:noProof/>
                              </w:rPr>
                              <w:fldChar w:fldCharType="begin"/>
                            </w:r>
                            <w:r>
                              <w:rPr>
                                <w:rFonts w:eastAsia="Georgia" w:cs="Georgia"/>
                                <w:noProof/>
                              </w:rPr>
                              <w:instrText xml:space="preserve"> SEQ Figure \* ARABIC </w:instrText>
                            </w:r>
                            <w:r>
                              <w:rPr>
                                <w:rFonts w:eastAsia="Georgia" w:cs="Georgia"/>
                                <w:noProof/>
                              </w:rPr>
                              <w:fldChar w:fldCharType="separate"/>
                            </w:r>
                            <w:r w:rsidR="00005290">
                              <w:rPr>
                                <w:rFonts w:eastAsia="Georgia" w:cs="Georgia"/>
                                <w:noProof/>
                              </w:rPr>
                              <w:t>1</w:t>
                            </w:r>
                            <w:r>
                              <w:rPr>
                                <w:rFonts w:eastAsia="Georgia" w:cs="Georgia"/>
                                <w:noProof/>
                              </w:rPr>
                              <w:fldChar w:fldCharType="end"/>
                            </w:r>
                            <w:r>
                              <w:t>RFI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2F37F0" id="_x0000_t202" coordsize="21600,21600" o:spt="202" path="m,l,21600r21600,l21600,xe">
                <v:stroke joinstyle="miter"/>
                <v:path gradientshapeok="t" o:connecttype="rect"/>
              </v:shapetype>
              <v:shape id="Zone de texte 1" o:spid="_x0000_s1026" type="#_x0000_t202" style="position:absolute;left:0;text-align:left;margin-left:0;margin-top:165.95pt;width:286.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" stroked="f">
                <v:textbox style="mso-fit-shape-to-text:t" inset="0,0,0,0">
                  <w:txbxContent>
                    <w:p w14:paraId="3A547BDB" w14:textId="7BBDBB74" w:rsidR="00957AE7" w:rsidRPr="00676BB5" w:rsidRDefault="00957AE7" w:rsidP="00957AE7">
                      <w:pPr>
                        <w:pStyle w:val="Lgende"/>
                        <w:rPr>
                          <w:rFonts w:eastAsia="Georgia" w:cs="Georgia"/>
                          <w:noProof/>
                          <w:sz w:val="22"/>
                          <w:szCs w:val="22"/>
                        </w:rPr>
                      </w:pPr>
                      <w:r>
                        <w:rPr>
                          <w:rFonts w:eastAsia="Georgia" w:cs="Georgia"/>
                          <w:noProof/>
                        </w:rPr>
                        <w:fldChar w:fldCharType="begin"/>
                      </w:r>
                      <w:r>
                        <w:rPr>
                          <w:rFonts w:eastAsia="Georgia" w:cs="Georgia"/>
                          <w:noProof/>
                        </w:rPr>
                        <w:instrText xml:space="preserve"> SEQ Figure \* ARABIC </w:instrText>
                      </w:r>
                      <w:r>
                        <w:rPr>
                          <w:rFonts w:eastAsia="Georgia" w:cs="Georgia"/>
                          <w:noProof/>
                        </w:rPr>
                        <w:fldChar w:fldCharType="separate"/>
                      </w:r>
                      <w:r w:rsidR="00005290">
                        <w:rPr>
                          <w:rFonts w:eastAsia="Georgia" w:cs="Georgia"/>
                          <w:noProof/>
                        </w:rPr>
                        <w:t>1</w:t>
                      </w:r>
                      <w:r>
                        <w:rPr>
                          <w:rFonts w:eastAsia="Georgia" w:cs="Georgia"/>
                          <w:noProof/>
                        </w:rPr>
                        <w:fldChar w:fldCharType="end"/>
                      </w:r>
                      <w:r>
                        <w:t>RFI</w:t>
                      </w:r>
                    </w:p>
                  </w:txbxContent>
                </v:textbox>
                <w10:wrap type="tight"/>
              </v:shape>
            </w:pict>
          </mc:Fallback>
        </mc:AlternateContent>
      </w:r>
      <w:r>
        <w:rPr>
          <w:rFonts w:eastAsia="Georgia" w:cs="Georgia"/>
          <w:noProof/>
        </w:rPr>
        <w:drawing>
          <wp:anchor distT="0" distB="0" distL="114300" distR="114300" simplePos="0" relativeHeight="251665408" behindDoc="1" locked="0" layoutInCell="1" allowOverlap="1" wp14:anchorId="3C289348" wp14:editId="4C6287B1">
            <wp:simplePos x="0" y="0"/>
            <wp:positionH relativeFrom="margin">
              <wp:align>left</wp:align>
            </wp:positionH>
            <wp:positionV relativeFrom="paragraph">
              <wp:posOffset>3810</wp:posOffset>
            </wp:positionV>
            <wp:extent cx="3638550" cy="2046605"/>
            <wp:effectExtent l="0" t="0" r="0" b="0"/>
            <wp:wrapTight wrapText="bothSides">
              <wp:wrapPolygon edited="0">
                <wp:start x="0" y="0"/>
                <wp:lineTo x="0" y="21312"/>
                <wp:lineTo x="21487" y="21312"/>
                <wp:lineTo x="21487" y="0"/>
                <wp:lineTo x="0" y="0"/>
              </wp:wrapPolygon>
            </wp:wrapTight>
            <wp:docPr id="18801383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38370" name="Image 188013837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550" cy="2046605"/>
                    </a:xfrm>
                    <a:prstGeom prst="rect">
                      <a:avLst/>
                    </a:prstGeom>
                  </pic:spPr>
                </pic:pic>
              </a:graphicData>
            </a:graphic>
            <wp14:sizeRelH relativeFrom="page">
              <wp14:pctWidth>0</wp14:pctWidth>
            </wp14:sizeRelH>
            <wp14:sizeRelV relativeFrom="page">
              <wp14:pctHeight>0</wp14:pctHeight>
            </wp14:sizeRelV>
          </wp:anchor>
        </w:drawing>
      </w:r>
      <w:r w:rsidR="00856076" w:rsidRPr="00856076">
        <w:rPr>
          <w:rFonts w:eastAsia="Georgia" w:cs="Georgia"/>
        </w:rPr>
        <w:t>L’un des constats les plus préoccupants de l’étude est que la désinformation n’est plus perçue comme une exception, mais comme une composante ordinaire du jeu politique. Pour beaucoup de personnes interrogées, il est désormais « normal » que des rumeurs circulent pendant une campagne, que des candidats soient attaqués sur des bases fausses ou que des informations non vérifiées sur l’Autorité nationale des élections (ANE) se propagent.</w:t>
      </w:r>
    </w:p>
    <w:p w14:paraId="1F530B62" w14:textId="676877F0" w:rsidR="00856076" w:rsidRPr="00856076" w:rsidRDefault="00856076" w:rsidP="00856076">
      <w:pPr>
        <w:spacing w:after="210"/>
        <w:jc w:val="both"/>
        <w:rPr>
          <w:rFonts w:eastAsia="Georgia" w:cs="Georgia"/>
        </w:rPr>
      </w:pPr>
      <w:r w:rsidRPr="00856076">
        <w:rPr>
          <w:rFonts w:eastAsia="Georgia" w:cs="Georgia"/>
        </w:rPr>
        <w:t xml:space="preserve">Dans les discussions menées à Bangui comme en province, plusieurs personnes évoquent par exemple des récits affirmant que « </w:t>
      </w:r>
      <w:r w:rsidRPr="008B1F8A">
        <w:rPr>
          <w:rFonts w:eastAsia="Georgia" w:cs="Georgia"/>
          <w:i/>
          <w:iCs/>
        </w:rPr>
        <w:t>certains résultats sont déjà décidés</w:t>
      </w:r>
      <w:r w:rsidRPr="00856076">
        <w:rPr>
          <w:rFonts w:eastAsia="Georgia" w:cs="Georgia"/>
        </w:rPr>
        <w:t xml:space="preserve"> », que « </w:t>
      </w:r>
      <w:r w:rsidRPr="008B1F8A">
        <w:rPr>
          <w:rFonts w:eastAsia="Georgia" w:cs="Georgia"/>
          <w:i/>
          <w:iCs/>
        </w:rPr>
        <w:t xml:space="preserve">des cartes d’électeurs de tel quartier ne vaudront rien </w:t>
      </w:r>
      <w:r w:rsidRPr="00856076">
        <w:rPr>
          <w:rFonts w:eastAsia="Georgia" w:cs="Georgia"/>
        </w:rPr>
        <w:t xml:space="preserve">», ou que « </w:t>
      </w:r>
      <w:r w:rsidRPr="008B1F8A">
        <w:rPr>
          <w:rFonts w:eastAsia="Georgia" w:cs="Georgia"/>
          <w:i/>
          <w:iCs/>
        </w:rPr>
        <w:t>l’ANE travaille pour tel camp</w:t>
      </w:r>
      <w:r w:rsidRPr="00856076">
        <w:rPr>
          <w:rFonts w:eastAsia="Georgia" w:cs="Georgia"/>
        </w:rPr>
        <w:t xml:space="preserve"> ». Ces affirmations ne s’appuient pas sur des éléments vérifiables, mais elles se diffusent dans un climat de méfiance ancienne envers les institutions, nourri par des cycles de crises politiques et sécuritaires.</w:t>
      </w:r>
    </w:p>
    <w:p w14:paraId="08DC91D0" w14:textId="22D4B2EC" w:rsidR="00D2535A" w:rsidRPr="008609CB" w:rsidRDefault="00856076" w:rsidP="00856076">
      <w:pPr>
        <w:spacing w:after="210"/>
        <w:jc w:val="both"/>
        <w:rPr>
          <w:rFonts w:eastAsia="Georgia" w:cs="Georgia"/>
          <w:b/>
          <w:bCs/>
          <w:color w:val="242852" w:themeColor="text2"/>
        </w:rPr>
      </w:pPr>
      <w:r w:rsidRPr="008609CB">
        <w:rPr>
          <w:rFonts w:eastAsia="Georgia" w:cs="Georgia"/>
          <w:b/>
          <w:bCs/>
          <w:color w:val="242852" w:themeColor="text2"/>
        </w:rPr>
        <w:t xml:space="preserve">Dans ce contexte, quand les citoyens estiment que « </w:t>
      </w:r>
      <w:r w:rsidRPr="008B1F8A">
        <w:rPr>
          <w:rFonts w:eastAsia="Georgia" w:cs="Georgia"/>
          <w:b/>
          <w:bCs/>
          <w:i/>
          <w:iCs/>
          <w:color w:val="242852" w:themeColor="text2"/>
        </w:rPr>
        <w:t>tout le monde ment</w:t>
      </w:r>
      <w:r w:rsidRPr="008609CB">
        <w:rPr>
          <w:rFonts w:eastAsia="Georgia" w:cs="Georgia"/>
          <w:b/>
          <w:bCs/>
          <w:color w:val="242852" w:themeColor="text2"/>
        </w:rPr>
        <w:t xml:space="preserve"> »</w:t>
      </w:r>
      <w:r w:rsidR="00DC60BE">
        <w:rPr>
          <w:rFonts w:eastAsia="Georgia" w:cs="Georgia"/>
          <w:b/>
          <w:bCs/>
          <w:color w:val="242852" w:themeColor="text2"/>
        </w:rPr>
        <w:t xml:space="preserve"> : </w:t>
      </w:r>
      <w:r w:rsidRPr="008609CB">
        <w:rPr>
          <w:rFonts w:eastAsia="Georgia" w:cs="Georgia"/>
          <w:b/>
          <w:bCs/>
          <w:color w:val="242852" w:themeColor="text2"/>
        </w:rPr>
        <w:t>autorités, élites, parfois médias</w:t>
      </w:r>
      <w:r w:rsidR="008B1F8A">
        <w:rPr>
          <w:rFonts w:eastAsia="Georgia" w:cs="Georgia"/>
          <w:b/>
          <w:bCs/>
          <w:color w:val="242852" w:themeColor="text2"/>
        </w:rPr>
        <w:t>,</w:t>
      </w:r>
      <w:r w:rsidRPr="008609CB">
        <w:rPr>
          <w:rFonts w:eastAsia="Georgia" w:cs="Georgia"/>
          <w:b/>
          <w:bCs/>
          <w:color w:val="242852" w:themeColor="text2"/>
        </w:rPr>
        <w:t xml:space="preserve"> ils ne cherchent pas d’abord à vérifier l’information auprès de sources indépendantes. Ils se tournent vers leurs cercles de confiance immédiats : la famille, la communauté religieuse, le chef de quartier, le responsable local d’un parti, un proche dans la diaspora. L’espace public se fragmente en petites bulles de certitude, chacune avec ses propres récits. Cette fragmentation renforce la vulnérabilité aux discours extrêmes ou complotistes, qui trouvent un terrain favorable lorsqu’ils confirment des peurs ou des ressentis préexistants.</w:t>
      </w:r>
    </w:p>
    <w:p w14:paraId="213E087C" w14:textId="15B73FB6" w:rsidR="00856076" w:rsidRPr="00856076" w:rsidRDefault="00CA0697" w:rsidP="00CA0697">
      <w:pPr>
        <w:pStyle w:val="Titre2"/>
        <w:numPr>
          <w:ilvl w:val="0"/>
          <w:numId w:val="61"/>
        </w:numPr>
        <w:rPr>
          <w:rFonts w:eastAsia="Georgia"/>
        </w:rPr>
      </w:pPr>
      <w:bookmarkStart w:id="13" w:name="_Toc216678968"/>
      <w:r w:rsidRPr="00856076">
        <w:rPr>
          <w:rFonts w:eastAsia="Georgia"/>
        </w:rPr>
        <w:t xml:space="preserve">Rumeurs sécuritaires : de l’alerte </w:t>
      </w:r>
      <w:r w:rsidR="001F1978">
        <w:rPr>
          <w:rFonts w:eastAsia="Georgia"/>
        </w:rPr>
        <w:t>à</w:t>
      </w:r>
      <w:r w:rsidRPr="00856076">
        <w:rPr>
          <w:rFonts w:eastAsia="Georgia"/>
        </w:rPr>
        <w:t xml:space="preserve"> la panique</w:t>
      </w:r>
      <w:bookmarkEnd w:id="13"/>
    </w:p>
    <w:p w14:paraId="554A713E" w14:textId="77777777" w:rsidR="00957AE7" w:rsidRDefault="00957AE7" w:rsidP="00856076">
      <w:pPr>
        <w:spacing w:after="210"/>
        <w:jc w:val="both"/>
        <w:rPr>
          <w:rFonts w:eastAsia="Georgia" w:cs="Georgia"/>
        </w:rPr>
      </w:pPr>
    </w:p>
    <w:p w14:paraId="452CFEFE" w14:textId="1D97C25B" w:rsidR="00957AE7" w:rsidRDefault="00957AE7" w:rsidP="00856076">
      <w:pPr>
        <w:spacing w:after="210"/>
        <w:jc w:val="both"/>
        <w:rPr>
          <w:rFonts w:eastAsia="Georgia" w:cs="Georgia"/>
        </w:rPr>
      </w:pPr>
      <w:r>
        <w:rPr>
          <w:rFonts w:eastAsia="Georgia" w:cs="Georgia"/>
          <w:noProof/>
        </w:rPr>
        <w:drawing>
          <wp:anchor distT="0" distB="0" distL="114300" distR="114300" simplePos="0" relativeHeight="251666432" behindDoc="1" locked="0" layoutInCell="1" allowOverlap="1" wp14:anchorId="2762D159" wp14:editId="5ED7E205">
            <wp:simplePos x="0" y="0"/>
            <wp:positionH relativeFrom="margin">
              <wp:align>left</wp:align>
            </wp:positionH>
            <wp:positionV relativeFrom="paragraph">
              <wp:posOffset>3230</wp:posOffset>
            </wp:positionV>
            <wp:extent cx="3832860" cy="2155825"/>
            <wp:effectExtent l="0" t="0" r="0" b="0"/>
            <wp:wrapTight wrapText="bothSides">
              <wp:wrapPolygon edited="0">
                <wp:start x="0" y="0"/>
                <wp:lineTo x="0" y="21377"/>
                <wp:lineTo x="21471" y="21377"/>
                <wp:lineTo x="21471" y="0"/>
                <wp:lineTo x="0" y="0"/>
              </wp:wrapPolygon>
            </wp:wrapTight>
            <wp:docPr id="1422502663" name="Image 4" descr="Une image contenant plein air, ciel, habits,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02663" name="Image 4" descr="Une image contenant plein air, ciel, habits, véhicule&#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3832860" cy="2155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14:anchorId="17427365" wp14:editId="6708E101">
                <wp:simplePos x="0" y="0"/>
                <wp:positionH relativeFrom="column">
                  <wp:posOffset>0</wp:posOffset>
                </wp:positionH>
                <wp:positionV relativeFrom="paragraph">
                  <wp:posOffset>2275840</wp:posOffset>
                </wp:positionV>
                <wp:extent cx="3832860" cy="635"/>
                <wp:effectExtent l="0" t="0" r="0" b="0"/>
                <wp:wrapTight wrapText="bothSides">
                  <wp:wrapPolygon edited="0">
                    <wp:start x="0" y="0"/>
                    <wp:lineTo x="0" y="21600"/>
                    <wp:lineTo x="21600" y="21600"/>
                    <wp:lineTo x="21600" y="0"/>
                  </wp:wrapPolygon>
                </wp:wrapTight>
                <wp:docPr id="141427992" name="Zone de texte 1"/>
                <wp:cNvGraphicFramePr/>
                <a:graphic xmlns:a="http://schemas.openxmlformats.org/drawingml/2006/main">
                  <a:graphicData uri="http://schemas.microsoft.com/office/word/2010/wordprocessingShape">
                    <wps:wsp>
                      <wps:cNvSpPr txBox="1"/>
                      <wps:spPr>
                        <a:xfrm>
                          <a:off x="0" y="0"/>
                          <a:ext cx="3832860" cy="635"/>
                        </a:xfrm>
                        <a:prstGeom prst="rect">
                          <a:avLst/>
                        </a:prstGeom>
                        <a:solidFill>
                          <a:prstClr val="white"/>
                        </a:solidFill>
                        <a:ln>
                          <a:noFill/>
                        </a:ln>
                      </wps:spPr>
                      <wps:txbx>
                        <w:txbxContent>
                          <w:p w14:paraId="2D9516AC" w14:textId="68DA9B07" w:rsidR="00957AE7" w:rsidRPr="00456B04" w:rsidRDefault="00957AE7" w:rsidP="00957AE7">
                            <w:pPr>
                              <w:pStyle w:val="Lgende"/>
                              <w:rPr>
                                <w:rFonts w:eastAsia="Georgia" w:cs="Georgia"/>
                                <w:noProof/>
                                <w:sz w:val="22"/>
                                <w:szCs w:val="22"/>
                              </w:rPr>
                            </w:pPr>
                            <w:r>
                              <w:rPr>
                                <w:rFonts w:eastAsia="Georgia" w:cs="Georgia"/>
                                <w:noProof/>
                              </w:rPr>
                              <w:fldChar w:fldCharType="begin"/>
                            </w:r>
                            <w:r>
                              <w:rPr>
                                <w:rFonts w:eastAsia="Georgia" w:cs="Georgia"/>
                                <w:noProof/>
                              </w:rPr>
                              <w:instrText xml:space="preserve"> SEQ Figure \* ARABIC </w:instrText>
                            </w:r>
                            <w:r>
                              <w:rPr>
                                <w:rFonts w:eastAsia="Georgia" w:cs="Georgia"/>
                                <w:noProof/>
                              </w:rPr>
                              <w:fldChar w:fldCharType="separate"/>
                            </w:r>
                            <w:r w:rsidR="00005290">
                              <w:rPr>
                                <w:rFonts w:eastAsia="Georgia" w:cs="Georgia"/>
                                <w:noProof/>
                              </w:rPr>
                              <w:t>2</w:t>
                            </w:r>
                            <w:r>
                              <w:rPr>
                                <w:rFonts w:eastAsia="Georgia" w:cs="Georgia"/>
                                <w:noProof/>
                              </w:rPr>
                              <w:fldChar w:fldCharType="end"/>
                            </w:r>
                            <w:r>
                              <w:t>Scène de panique à Bangui (RFI)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427365" id="_x0000_s1027" type="#_x0000_t202" style="position:absolute;left:0;text-align:left;margin-left:0;margin-top:179.2pt;width:301.8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" stroked="f">
                <v:textbox style="mso-fit-shape-to-text:t" inset="0,0,0,0">
                  <w:txbxContent>
                    <w:p w14:paraId="2D9516AC" w14:textId="68DA9B07" w:rsidR="00957AE7" w:rsidRPr="00456B04" w:rsidRDefault="00957AE7" w:rsidP="00957AE7">
                      <w:pPr>
                        <w:pStyle w:val="Lgende"/>
                        <w:rPr>
                          <w:rFonts w:eastAsia="Georgia" w:cs="Georgia"/>
                          <w:noProof/>
                          <w:sz w:val="22"/>
                          <w:szCs w:val="22"/>
                        </w:rPr>
                      </w:pPr>
                      <w:r>
                        <w:rPr>
                          <w:rFonts w:eastAsia="Georgia" w:cs="Georgia"/>
                          <w:noProof/>
                        </w:rPr>
                        <w:fldChar w:fldCharType="begin"/>
                      </w:r>
                      <w:r>
                        <w:rPr>
                          <w:rFonts w:eastAsia="Georgia" w:cs="Georgia"/>
                          <w:noProof/>
                        </w:rPr>
                        <w:instrText xml:space="preserve"> SEQ Figure \* ARABIC </w:instrText>
                      </w:r>
                      <w:r>
                        <w:rPr>
                          <w:rFonts w:eastAsia="Georgia" w:cs="Georgia"/>
                          <w:noProof/>
                        </w:rPr>
                        <w:fldChar w:fldCharType="separate"/>
                      </w:r>
                      <w:r w:rsidR="00005290">
                        <w:rPr>
                          <w:rFonts w:eastAsia="Georgia" w:cs="Georgia"/>
                          <w:noProof/>
                        </w:rPr>
                        <w:t>2</w:t>
                      </w:r>
                      <w:r>
                        <w:rPr>
                          <w:rFonts w:eastAsia="Georgia" w:cs="Georgia"/>
                          <w:noProof/>
                        </w:rPr>
                        <w:fldChar w:fldCharType="end"/>
                      </w:r>
                      <w:r>
                        <w:t>Scène de panique à Bangui (RFI)</w:t>
                      </w:r>
                    </w:p>
                  </w:txbxContent>
                </v:textbox>
                <w10:wrap type="tight"/>
              </v:shape>
            </w:pict>
          </mc:Fallback>
        </mc:AlternateContent>
      </w:r>
      <w:r w:rsidR="00856076" w:rsidRPr="00856076">
        <w:rPr>
          <w:rFonts w:eastAsia="Georgia" w:cs="Georgia"/>
        </w:rPr>
        <w:t>Les rumeurs liées à la sécurité sont l’un des vecteurs les plus puissants de désorganisation sociale. Dans plusieurs localités, les personnes interrogées décrivent la même séquence : un message circulant par bouche</w:t>
      </w:r>
      <w:r w:rsidR="00856076" w:rsidRPr="00856076">
        <w:rPr>
          <w:rFonts w:eastAsia="Georgia" w:cs="Georgia"/>
        </w:rPr>
        <w:noBreakHyphen/>
        <w:t>à</w:t>
      </w:r>
      <w:r w:rsidR="00856076" w:rsidRPr="00856076">
        <w:rPr>
          <w:rFonts w:eastAsia="Georgia" w:cs="Georgia"/>
        </w:rPr>
        <w:noBreakHyphen/>
        <w:t xml:space="preserve">oreille ou via un audio sur téléphone annonce que « </w:t>
      </w:r>
      <w:r w:rsidR="00856076" w:rsidRPr="00957AE7">
        <w:rPr>
          <w:rFonts w:eastAsia="Georgia" w:cs="Georgia"/>
          <w:i/>
          <w:iCs/>
        </w:rPr>
        <w:t>des hommes armés ont été vus près de…</w:t>
      </w:r>
      <w:r w:rsidR="00856076" w:rsidRPr="00856076">
        <w:rPr>
          <w:rFonts w:eastAsia="Georgia" w:cs="Georgia"/>
        </w:rPr>
        <w:t xml:space="preserve"> », que « </w:t>
      </w:r>
      <w:r w:rsidR="00856076" w:rsidRPr="00957AE7">
        <w:rPr>
          <w:rFonts w:eastAsia="Georgia" w:cs="Georgia"/>
          <w:i/>
          <w:iCs/>
        </w:rPr>
        <w:t>des attaques sont prévues ce soir</w:t>
      </w:r>
      <w:r w:rsidR="00856076" w:rsidRPr="00856076">
        <w:rPr>
          <w:rFonts w:eastAsia="Georgia" w:cs="Georgia"/>
        </w:rPr>
        <w:t xml:space="preserve"> » ou que « </w:t>
      </w:r>
      <w:r w:rsidR="00856076" w:rsidRPr="00957AE7">
        <w:rPr>
          <w:rFonts w:eastAsia="Georgia" w:cs="Georgia"/>
          <w:i/>
          <w:iCs/>
        </w:rPr>
        <w:t>les routes seront coupées le jour du vote</w:t>
      </w:r>
      <w:r w:rsidR="00856076" w:rsidRPr="00856076">
        <w:rPr>
          <w:rFonts w:eastAsia="Georgia" w:cs="Georgia"/>
        </w:rPr>
        <w:t xml:space="preserve"> ».</w:t>
      </w:r>
    </w:p>
    <w:p w14:paraId="275DDF6D" w14:textId="77777777" w:rsidR="00957AE7" w:rsidRDefault="00957AE7" w:rsidP="00856076">
      <w:pPr>
        <w:spacing w:after="210"/>
        <w:jc w:val="both"/>
        <w:rPr>
          <w:rFonts w:eastAsia="Georgia" w:cs="Georgia"/>
        </w:rPr>
      </w:pPr>
    </w:p>
    <w:p w14:paraId="5E038726" w14:textId="77777777" w:rsidR="00957AE7" w:rsidRDefault="00957AE7" w:rsidP="00856076">
      <w:pPr>
        <w:spacing w:after="210"/>
        <w:jc w:val="both"/>
        <w:rPr>
          <w:rFonts w:eastAsia="Georgia" w:cs="Georgia"/>
        </w:rPr>
      </w:pPr>
    </w:p>
    <w:p w14:paraId="63D82E7F" w14:textId="57511E48" w:rsidR="00856076" w:rsidRPr="00856076" w:rsidRDefault="00856076" w:rsidP="00856076">
      <w:pPr>
        <w:spacing w:after="210"/>
        <w:jc w:val="both"/>
        <w:rPr>
          <w:rFonts w:eastAsia="Georgia" w:cs="Georgia"/>
        </w:rPr>
      </w:pPr>
      <w:r w:rsidRPr="00856076">
        <w:rPr>
          <w:rFonts w:eastAsia="Georgia" w:cs="Georgia"/>
        </w:rPr>
        <w:t>En quelques heures, sans confirmation officielle, des familles se déplacent vers des quartiers jugés plus sûrs, des marchés ferment plus tôt, des classes sont suspendues.</w:t>
      </w:r>
    </w:p>
    <w:p w14:paraId="777CB9D7" w14:textId="7C02BCD4" w:rsidR="00856076" w:rsidRPr="00856076" w:rsidRDefault="00856076" w:rsidP="00856076">
      <w:pPr>
        <w:spacing w:after="210"/>
        <w:jc w:val="both"/>
        <w:rPr>
          <w:rFonts w:eastAsia="Georgia" w:cs="Georgia"/>
        </w:rPr>
      </w:pPr>
      <w:r w:rsidRPr="00856076">
        <w:rPr>
          <w:rFonts w:eastAsia="Georgia" w:cs="Georgia"/>
        </w:rPr>
        <w:t>Ces réactions ne relèvent pas de la simple crédulité. Elles sont liées à la mémoire des violences passées : pour nombre de citoyens, ne pas réagir à une rumeur de menace serait irresponsable. Dans les groupes de discussion, certains expliquent avoir déjà été surpris par des événements violents sans avertissement, et considèrent désormais la rumeur comme un système d’alerte parallèle plus rapide que les annonces institutionnelles.</w:t>
      </w:r>
    </w:p>
    <w:p w14:paraId="06F2690A" w14:textId="77777777" w:rsidR="00856076" w:rsidRPr="008609CB" w:rsidRDefault="00856076" w:rsidP="00856076">
      <w:pPr>
        <w:spacing w:after="210"/>
        <w:jc w:val="both"/>
        <w:rPr>
          <w:rFonts w:eastAsia="Georgia" w:cs="Georgia"/>
          <w:b/>
          <w:bCs/>
          <w:color w:val="242852" w:themeColor="text2"/>
        </w:rPr>
      </w:pPr>
      <w:r w:rsidRPr="008609CB">
        <w:rPr>
          <w:rFonts w:eastAsia="Georgia" w:cs="Georgia"/>
          <w:b/>
          <w:bCs/>
          <w:color w:val="242852" w:themeColor="text2"/>
        </w:rPr>
        <w:t xml:space="preserve">Pour le scrutin du 28 décembre, le risque n’est pas tant une abstention uniforme que des poches d’abstention différenciée. Des zones peu touchées par ces rumeurs pourraient connaître une participation normale, tandis que d’autres, saturées d’annonces alarmistes, se videraient partiellement le jour du vote. Ces disparités territoriales peuvent ensuite alimenter des récits de délégitimation : </w:t>
      </w:r>
      <w:r w:rsidRPr="008609CB">
        <w:rPr>
          <w:rFonts w:eastAsia="Georgia" w:cs="Georgia"/>
          <w:b/>
          <w:bCs/>
          <w:i/>
          <w:iCs/>
          <w:color w:val="242852" w:themeColor="text2"/>
        </w:rPr>
        <w:t>« nos quartiers n’ont pas voté</w:t>
      </w:r>
      <w:r w:rsidRPr="008609CB">
        <w:rPr>
          <w:rFonts w:eastAsia="Georgia" w:cs="Georgia"/>
          <w:b/>
          <w:bCs/>
          <w:color w:val="242852" w:themeColor="text2"/>
        </w:rPr>
        <w:t xml:space="preserve"> », « </w:t>
      </w:r>
      <w:r w:rsidRPr="008609CB">
        <w:rPr>
          <w:rFonts w:eastAsia="Georgia" w:cs="Georgia"/>
          <w:b/>
          <w:bCs/>
          <w:i/>
          <w:iCs/>
          <w:color w:val="242852" w:themeColor="text2"/>
        </w:rPr>
        <w:t>on a empêché certaines communautés de se rendre aux urnes</w:t>
      </w:r>
      <w:r w:rsidRPr="008609CB">
        <w:rPr>
          <w:rFonts w:eastAsia="Georgia" w:cs="Georgia"/>
          <w:b/>
          <w:bCs/>
          <w:color w:val="242852" w:themeColor="text2"/>
        </w:rPr>
        <w:t xml:space="preserve"> », même lorsqu’aucun blocage matériel n’a été organisé.</w:t>
      </w:r>
    </w:p>
    <w:p w14:paraId="1CB468E5" w14:textId="6ED7E307" w:rsidR="00856076" w:rsidRPr="00CA0697" w:rsidRDefault="00CA0697" w:rsidP="00CA0697">
      <w:pPr>
        <w:pStyle w:val="Titre2"/>
        <w:numPr>
          <w:ilvl w:val="0"/>
          <w:numId w:val="61"/>
        </w:numPr>
      </w:pPr>
      <w:bookmarkStart w:id="14" w:name="_Toc216678969"/>
      <w:r w:rsidRPr="00CA0697">
        <w:t xml:space="preserve">Désinformation sexiste et « </w:t>
      </w:r>
      <w:proofErr w:type="spellStart"/>
      <w:r w:rsidRPr="00CA0697">
        <w:t>centrafricani</w:t>
      </w:r>
      <w:r>
        <w:t>t</w:t>
      </w:r>
      <w:r w:rsidRPr="00CA0697">
        <w:t>é</w:t>
      </w:r>
      <w:proofErr w:type="spellEnd"/>
      <w:r w:rsidRPr="00CA0697">
        <w:t xml:space="preserve"> » instrumentalisée</w:t>
      </w:r>
      <w:bookmarkEnd w:id="14"/>
    </w:p>
    <w:p w14:paraId="6AF0EB78" w14:textId="2BEC3CE4" w:rsidR="00D2535A" w:rsidRPr="00D2535A" w:rsidRDefault="00005290" w:rsidP="00D2535A">
      <w:pPr>
        <w:spacing w:after="210"/>
        <w:jc w:val="both"/>
        <w:rPr>
          <w:rFonts w:eastAsia="Georgia" w:cs="Georgia"/>
        </w:rPr>
      </w:pPr>
      <w:r>
        <w:rPr>
          <w:rFonts w:eastAsia="Georgia" w:cs="Georgia"/>
          <w:noProof/>
        </w:rPr>
        <w:drawing>
          <wp:anchor distT="0" distB="0" distL="114300" distR="114300" simplePos="0" relativeHeight="251671552" behindDoc="0" locked="0" layoutInCell="1" allowOverlap="1" wp14:anchorId="7960F535" wp14:editId="7620950F">
            <wp:simplePos x="457200" y="3650615"/>
            <wp:positionH relativeFrom="margin">
              <wp:align>left</wp:align>
            </wp:positionH>
            <wp:positionV relativeFrom="margin">
              <wp:align>center</wp:align>
            </wp:positionV>
            <wp:extent cx="2126615" cy="2126615"/>
            <wp:effectExtent l="0" t="0" r="6985" b="6985"/>
            <wp:wrapSquare wrapText="bothSides"/>
            <wp:docPr id="21091963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96321" name="Image 21091963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6615" cy="2126615"/>
                    </a:xfrm>
                    <a:prstGeom prst="rect">
                      <a:avLst/>
                    </a:prstGeom>
                  </pic:spPr>
                </pic:pic>
              </a:graphicData>
            </a:graphic>
          </wp:anchor>
        </w:drawing>
      </w:r>
      <w:r w:rsidR="00D2535A" w:rsidRPr="00D2535A">
        <w:rPr>
          <w:rFonts w:eastAsia="Georgia" w:cs="Georgia"/>
        </w:rPr>
        <w:t>La désinformation sexiste n’apparaît pas seulement au moment où une femme mène une campagne ; elle constitue un </w:t>
      </w:r>
      <w:r w:rsidR="00D2535A" w:rsidRPr="00CA0697">
        <w:rPr>
          <w:rFonts w:eastAsia="Georgia" w:cs="Georgia"/>
        </w:rPr>
        <w:t>climat de fond</w:t>
      </w:r>
      <w:r w:rsidR="00D2535A" w:rsidRPr="00D2535A">
        <w:rPr>
          <w:rFonts w:eastAsia="Georgia" w:cs="Georgia"/>
        </w:rPr>
        <w:t> bien avant l’entrée en campagne. Dans de nombreux récits, des femmes engagées dans la vie associative, professionnelle ou religieuse expliquent qu’elles sont régulièrement visées par des commentaires ou des sous</w:t>
      </w:r>
      <w:r w:rsidR="00D2535A" w:rsidRPr="00D2535A">
        <w:rPr>
          <w:rFonts w:eastAsia="Georgia" w:cs="Georgia"/>
        </w:rPr>
        <w:noBreakHyphen/>
        <w:t xml:space="preserve">entendus sur leur place « </w:t>
      </w:r>
      <w:r w:rsidR="00D2535A" w:rsidRPr="00CA0697">
        <w:rPr>
          <w:rFonts w:eastAsia="Georgia" w:cs="Georgia"/>
          <w:i/>
          <w:iCs/>
        </w:rPr>
        <w:t xml:space="preserve">normale </w:t>
      </w:r>
      <w:r w:rsidR="00D2535A" w:rsidRPr="00D2535A">
        <w:rPr>
          <w:rFonts w:eastAsia="Georgia" w:cs="Georgia"/>
        </w:rPr>
        <w:t xml:space="preserve">» dans la société : une femme qui parle trop en public, qui dirige une structure ou qui s’expose dans les médias est vite soupçonnée d’« </w:t>
      </w:r>
      <w:r w:rsidR="00D2535A" w:rsidRPr="00CA0697">
        <w:rPr>
          <w:rFonts w:eastAsia="Georgia" w:cs="Georgia"/>
          <w:i/>
          <w:iCs/>
        </w:rPr>
        <w:t>orgueil</w:t>
      </w:r>
      <w:r w:rsidR="00D2535A" w:rsidRPr="00D2535A">
        <w:rPr>
          <w:rFonts w:eastAsia="Georgia" w:cs="Georgia"/>
        </w:rPr>
        <w:t xml:space="preserve"> », de « </w:t>
      </w:r>
      <w:r w:rsidR="00D2535A" w:rsidRPr="00CA0697">
        <w:rPr>
          <w:rFonts w:eastAsia="Georgia" w:cs="Georgia"/>
          <w:i/>
          <w:iCs/>
        </w:rPr>
        <w:t>mauvaise vie</w:t>
      </w:r>
      <w:r w:rsidR="00D2535A" w:rsidRPr="00D2535A">
        <w:rPr>
          <w:rFonts w:eastAsia="Georgia" w:cs="Georgia"/>
        </w:rPr>
        <w:t xml:space="preserve"> » ou de « </w:t>
      </w:r>
      <w:r w:rsidR="00D2535A" w:rsidRPr="00CA0697">
        <w:rPr>
          <w:rFonts w:eastAsia="Georgia" w:cs="Georgia"/>
          <w:i/>
          <w:iCs/>
        </w:rPr>
        <w:t>manque de respect des valeurs</w:t>
      </w:r>
      <w:r w:rsidR="00D2535A" w:rsidRPr="00D2535A">
        <w:rPr>
          <w:rFonts w:eastAsia="Georgia" w:cs="Georgia"/>
        </w:rPr>
        <w:t xml:space="preserve"> ». Ce bruit de fond installe l’idée qu’une femme qui s’expose politiquement sort déjà du rôle qui lui serait assigné.</w:t>
      </w:r>
    </w:p>
    <w:p w14:paraId="3786557A" w14:textId="51BBC7C9" w:rsidR="00D2535A" w:rsidRPr="00D2535A" w:rsidRDefault="00D2535A" w:rsidP="00D2535A">
      <w:pPr>
        <w:spacing w:after="210"/>
        <w:jc w:val="both"/>
        <w:rPr>
          <w:rFonts w:eastAsia="Georgia" w:cs="Georgia"/>
        </w:rPr>
      </w:pPr>
      <w:r w:rsidRPr="00CA0697">
        <w:rPr>
          <w:rFonts w:eastAsia="Georgia" w:cs="Georgia"/>
        </w:rPr>
        <w:t>À cela s’ajoutent de nombreuses fausses informations sur les coûts supposés des campagnes électorales.</w:t>
      </w:r>
      <w:r w:rsidRPr="00D2535A">
        <w:rPr>
          <w:rFonts w:eastAsia="Georgia" w:cs="Georgia"/>
        </w:rPr>
        <w:t xml:space="preserve"> Dans les échanges, beaucoup affirment qu’il faut « </w:t>
      </w:r>
      <w:r w:rsidRPr="00CA0697">
        <w:rPr>
          <w:rFonts w:eastAsia="Georgia" w:cs="Georgia"/>
          <w:i/>
          <w:iCs/>
        </w:rPr>
        <w:t>des dizaines de millions</w:t>
      </w:r>
      <w:r w:rsidRPr="00D2535A">
        <w:rPr>
          <w:rFonts w:eastAsia="Georgia" w:cs="Georgia"/>
        </w:rPr>
        <w:t xml:space="preserve"> » pour se présenter, que « </w:t>
      </w:r>
      <w:r w:rsidRPr="00CA0697">
        <w:rPr>
          <w:rFonts w:eastAsia="Georgia" w:cs="Georgia"/>
          <w:i/>
          <w:iCs/>
        </w:rPr>
        <w:t>sans un grand financier, ce n’est même pas la peine</w:t>
      </w:r>
      <w:r w:rsidRPr="00D2535A">
        <w:rPr>
          <w:rFonts w:eastAsia="Georgia" w:cs="Georgia"/>
        </w:rPr>
        <w:t xml:space="preserve"> », ou que « </w:t>
      </w:r>
      <w:r w:rsidRPr="00CA0697">
        <w:rPr>
          <w:rFonts w:eastAsia="Georgia" w:cs="Georgia"/>
          <w:i/>
          <w:iCs/>
        </w:rPr>
        <w:t>seules celles qui ont des appuis occultes peuvent tenir</w:t>
      </w:r>
      <w:r w:rsidRPr="00D2535A">
        <w:rPr>
          <w:rFonts w:eastAsia="Georgia" w:cs="Georgia"/>
        </w:rPr>
        <w:t xml:space="preserve"> ». Ces chiffres circulent sans base solide. Ils présentent la compétition électorale comme un espace réservé à ceux qui disposent déjà de ressources importantes, c’est</w:t>
      </w:r>
      <w:r w:rsidRPr="00D2535A">
        <w:rPr>
          <w:rFonts w:eastAsia="Georgia" w:cs="Georgia"/>
        </w:rPr>
        <w:noBreakHyphen/>
        <w:t>à</w:t>
      </w:r>
      <w:r w:rsidRPr="00D2535A">
        <w:rPr>
          <w:rFonts w:eastAsia="Georgia" w:cs="Georgia"/>
        </w:rPr>
        <w:noBreakHyphen/>
        <w:t xml:space="preserve">dire principalement des hommes. Pour les femmes, le message implicite est double : d’une part, qu’elles n’ont pas les moyens d’entrer dans l’arène ; d’autre part, que si elles y parviennent malgré tout, c’est forcément parce qu’elles sont « </w:t>
      </w:r>
      <w:r w:rsidRPr="00CA0697">
        <w:rPr>
          <w:rFonts w:eastAsia="Georgia" w:cs="Georgia"/>
          <w:i/>
          <w:iCs/>
        </w:rPr>
        <w:t>entretenues</w:t>
      </w:r>
      <w:r w:rsidRPr="00D2535A">
        <w:rPr>
          <w:rFonts w:eastAsia="Georgia" w:cs="Georgia"/>
        </w:rPr>
        <w:t xml:space="preserve"> » ou «</w:t>
      </w:r>
      <w:r w:rsidRPr="00CA0697">
        <w:rPr>
          <w:rFonts w:eastAsia="Georgia" w:cs="Georgia"/>
          <w:i/>
          <w:iCs/>
        </w:rPr>
        <w:t xml:space="preserve"> financées</w:t>
      </w:r>
      <w:r w:rsidRPr="00D2535A">
        <w:rPr>
          <w:rFonts w:eastAsia="Georgia" w:cs="Georgia"/>
        </w:rPr>
        <w:t xml:space="preserve"> » par des intérêts cachés.</w:t>
      </w:r>
    </w:p>
    <w:p w14:paraId="3789FEF7" w14:textId="77777777" w:rsidR="00D2535A" w:rsidRPr="00D2535A" w:rsidRDefault="00D2535A" w:rsidP="00D2535A">
      <w:pPr>
        <w:spacing w:after="210"/>
        <w:jc w:val="both"/>
        <w:rPr>
          <w:rFonts w:eastAsia="Georgia" w:cs="Georgia"/>
        </w:rPr>
      </w:pPr>
      <w:r w:rsidRPr="00D2535A">
        <w:rPr>
          <w:rFonts w:eastAsia="Georgia" w:cs="Georgia"/>
        </w:rPr>
        <w:t>Depuis la publication de la liste définitive des candidats et candidates, ces dynamiques ont commencé à se concentrer sur un nombre restreint de personnes identifiées. Sans que la campagne officielle ait démarré, certaines d’entre elles font déjà l’objet de rumeurs ciblées sur leur vie privée, leur moralité, leurs supposés bailleurs, ou des liens imaginaires avec des responsables étrangers et des groupes armés. Ces contenus circulent dans les conversations quotidiennes et via des messages vocaux anonymes relayés de téléphone en téléphone, préparant un terrain de suspicion avant même qu’elles n’aient réellement présenté leurs projets.</w:t>
      </w:r>
    </w:p>
    <w:p w14:paraId="440714CF" w14:textId="77777777" w:rsidR="00D2535A" w:rsidRPr="00D2535A" w:rsidRDefault="00D2535A" w:rsidP="00D2535A">
      <w:pPr>
        <w:spacing w:after="210"/>
        <w:jc w:val="both"/>
        <w:rPr>
          <w:rFonts w:eastAsia="Georgia" w:cs="Georgia"/>
        </w:rPr>
      </w:pPr>
      <w:r w:rsidRPr="00D2535A">
        <w:rPr>
          <w:rFonts w:eastAsia="Georgia" w:cs="Georgia"/>
        </w:rPr>
        <w:t>Dans ce contexte, plusieurs femmes évoquent des </w:t>
      </w:r>
      <w:r w:rsidRPr="00005290">
        <w:rPr>
          <w:rFonts w:eastAsia="Georgia" w:cs="Georgia"/>
        </w:rPr>
        <w:t>pressions directes de leur entourage</w:t>
      </w:r>
      <w:r w:rsidRPr="00D2535A">
        <w:rPr>
          <w:rFonts w:eastAsia="Georgia" w:cs="Georgia"/>
        </w:rPr>
        <w:t xml:space="preserve"> au moment où leurs noms apparaissent sur la liste : parents, conjoints, responsables religieux ou communautaires leur demandent de « </w:t>
      </w:r>
      <w:r w:rsidRPr="00005290">
        <w:rPr>
          <w:rFonts w:eastAsia="Georgia" w:cs="Georgia"/>
          <w:i/>
          <w:iCs/>
        </w:rPr>
        <w:t>réfléchir encore</w:t>
      </w:r>
      <w:r w:rsidRPr="00D2535A">
        <w:rPr>
          <w:rFonts w:eastAsia="Georgia" w:cs="Georgia"/>
        </w:rPr>
        <w:t xml:space="preserve"> », de renoncer pour « </w:t>
      </w:r>
      <w:r w:rsidRPr="00005290">
        <w:rPr>
          <w:rFonts w:eastAsia="Georgia" w:cs="Georgia"/>
          <w:i/>
          <w:iCs/>
        </w:rPr>
        <w:t>ne pas attirer les problèmes</w:t>
      </w:r>
      <w:r w:rsidRPr="00D2535A">
        <w:rPr>
          <w:rFonts w:eastAsia="Georgia" w:cs="Georgia"/>
        </w:rPr>
        <w:t xml:space="preserve"> » ou « </w:t>
      </w:r>
      <w:r w:rsidRPr="00005290">
        <w:rPr>
          <w:rFonts w:eastAsia="Georgia" w:cs="Georgia"/>
          <w:i/>
          <w:iCs/>
        </w:rPr>
        <w:t>ne pas salir le nom de la famille</w:t>
      </w:r>
      <w:r w:rsidRPr="00D2535A">
        <w:rPr>
          <w:rFonts w:eastAsia="Georgia" w:cs="Georgia"/>
        </w:rPr>
        <w:t xml:space="preserve"> ». D’autres expliquent qu’elles doivent déjà consacrer du temps à rassurer leurs proches et à démentir des rumeurs, alors même que la campagne officielle n’a pas encore commencé. Le coût social, émotionnel et politique de la simple candidature est ainsi beaucoup plus élevé pour elles que pour la plupart des hommes.</w:t>
      </w:r>
    </w:p>
    <w:p w14:paraId="5EB62330" w14:textId="77777777" w:rsidR="00D2535A" w:rsidRPr="00D2535A" w:rsidRDefault="00D2535A" w:rsidP="00D2535A">
      <w:pPr>
        <w:spacing w:after="210"/>
        <w:jc w:val="both"/>
        <w:rPr>
          <w:rFonts w:eastAsia="Georgia" w:cs="Georgia"/>
        </w:rPr>
      </w:pPr>
      <w:r w:rsidRPr="00D2535A">
        <w:rPr>
          <w:rFonts w:eastAsia="Georgia" w:cs="Georgia"/>
        </w:rPr>
        <w:t>Ces dynamiques se croisent avec une ligne de fracture plus large : la question de la </w:t>
      </w:r>
      <w:r w:rsidRPr="00005290">
        <w:rPr>
          <w:rFonts w:eastAsia="Georgia" w:cs="Georgia"/>
          <w:i/>
          <w:iCs/>
        </w:rPr>
        <w:t xml:space="preserve">« </w:t>
      </w:r>
      <w:proofErr w:type="spellStart"/>
      <w:r w:rsidRPr="00005290">
        <w:rPr>
          <w:rFonts w:eastAsia="Georgia" w:cs="Georgia"/>
          <w:i/>
          <w:iCs/>
        </w:rPr>
        <w:t>centrafricanité</w:t>
      </w:r>
      <w:proofErr w:type="spellEnd"/>
      <w:r w:rsidRPr="00005290">
        <w:rPr>
          <w:rFonts w:eastAsia="Georgia" w:cs="Georgia"/>
          <w:i/>
          <w:iCs/>
        </w:rPr>
        <w:t xml:space="preserve"> » </w:t>
      </w:r>
      <w:r w:rsidRPr="00D2535A">
        <w:rPr>
          <w:rFonts w:eastAsia="Georgia" w:cs="Georgia"/>
        </w:rPr>
        <w:t xml:space="preserve">et de la loyauté nationale. Dans plusieurs échanges, les participants opposent implicitement « </w:t>
      </w:r>
      <w:r w:rsidRPr="00005290">
        <w:rPr>
          <w:rFonts w:eastAsia="Georgia" w:cs="Georgia"/>
          <w:i/>
          <w:iCs/>
        </w:rPr>
        <w:t>ceux qui sont restés</w:t>
      </w:r>
      <w:r w:rsidRPr="00D2535A">
        <w:rPr>
          <w:rFonts w:eastAsia="Georgia" w:cs="Georgia"/>
        </w:rPr>
        <w:t xml:space="preserve"> » à « </w:t>
      </w:r>
      <w:r w:rsidRPr="00005290">
        <w:rPr>
          <w:rFonts w:eastAsia="Georgia" w:cs="Georgia"/>
          <w:i/>
          <w:iCs/>
        </w:rPr>
        <w:t>ceux qui sont partis</w:t>
      </w:r>
      <w:r w:rsidRPr="00D2535A">
        <w:rPr>
          <w:rFonts w:eastAsia="Georgia" w:cs="Georgia"/>
        </w:rPr>
        <w:t xml:space="preserve"> », en particulier les personnes ayant une double nationalité ou ayant pu se réfugier à l’étranger pendant les périodes de guerre. Ces dernières sont parfois perçues comme n’ayant pas « </w:t>
      </w:r>
      <w:r w:rsidRPr="00005290">
        <w:rPr>
          <w:rFonts w:eastAsia="Georgia" w:cs="Georgia"/>
          <w:i/>
          <w:iCs/>
        </w:rPr>
        <w:t>vraiment souffert</w:t>
      </w:r>
      <w:r w:rsidRPr="00D2535A">
        <w:rPr>
          <w:rFonts w:eastAsia="Georgia" w:cs="Georgia"/>
        </w:rPr>
        <w:t xml:space="preserve"> » comme les autres, parce qu’elles auraient eu la possibilité de quitter le pays, d’accéder à des services de base ou de continuer leurs études ailleurs.</w:t>
      </w:r>
    </w:p>
    <w:p w14:paraId="0C70C80D" w14:textId="145F1CCA" w:rsidR="00D2535A" w:rsidRPr="00D2535A" w:rsidRDefault="00D2535A" w:rsidP="00D2535A">
      <w:pPr>
        <w:spacing w:after="210"/>
        <w:jc w:val="both"/>
        <w:rPr>
          <w:rFonts w:eastAsia="Georgia" w:cs="Georgia"/>
        </w:rPr>
      </w:pPr>
      <w:r w:rsidRPr="00D2535A">
        <w:rPr>
          <w:rFonts w:eastAsia="Georgia" w:cs="Georgia"/>
        </w:rPr>
        <w:t>Ce ressentiment diffus renvoie à un </w:t>
      </w:r>
      <w:r w:rsidRPr="00005290">
        <w:rPr>
          <w:rFonts w:eastAsia="Georgia" w:cs="Georgia"/>
        </w:rPr>
        <w:t>traumatisme collectif non résolu</w:t>
      </w:r>
      <w:r w:rsidRPr="00D2535A">
        <w:rPr>
          <w:rFonts w:eastAsia="Georgia" w:cs="Georgia"/>
        </w:rPr>
        <w:t xml:space="preserve">. Pour une partie de la population, les années de crise ont été vécues comme un double abandon : abandon par l’État, incapable de protéger, et abandon par ceux qui ont eu les moyens ou l’opportunité de partir. Lorsque, plus tard, des personnes revenues de l’étranger </w:t>
      </w:r>
      <w:r w:rsidR="00005290">
        <w:rPr>
          <w:rFonts w:eastAsia="Georgia" w:cs="Georgia"/>
        </w:rPr>
        <w:t xml:space="preserve">, </w:t>
      </w:r>
      <w:r w:rsidRPr="00D2535A">
        <w:rPr>
          <w:rFonts w:eastAsia="Georgia" w:cs="Georgia"/>
        </w:rPr>
        <w:t xml:space="preserve">parfois avec un autre passeport, un meilleur niveau d’éducation ou des ressources économiques </w:t>
      </w:r>
      <w:r w:rsidR="00005290">
        <w:rPr>
          <w:rFonts w:eastAsia="Georgia" w:cs="Georgia"/>
        </w:rPr>
        <w:t xml:space="preserve">, </w:t>
      </w:r>
      <w:r w:rsidRPr="00D2535A">
        <w:rPr>
          <w:rFonts w:eastAsia="Georgia" w:cs="Georgia"/>
        </w:rPr>
        <w:t xml:space="preserve">figurent sur la liste des candidats, une partie de l’opinion peut ressentir cela comme une nouvelle forme de confiscation : « </w:t>
      </w:r>
      <w:r w:rsidRPr="00005290">
        <w:rPr>
          <w:rFonts w:eastAsia="Georgia" w:cs="Georgia"/>
          <w:i/>
          <w:iCs/>
        </w:rPr>
        <w:t>ils n’ont pas connu ce que nous avons vécu, mais aujourd’hui ils veulent parler en notre nom</w:t>
      </w:r>
      <w:r w:rsidRPr="00D2535A">
        <w:rPr>
          <w:rFonts w:eastAsia="Georgia" w:cs="Georgia"/>
        </w:rPr>
        <w:t xml:space="preserve"> ».</w:t>
      </w:r>
    </w:p>
    <w:p w14:paraId="5DB74581" w14:textId="77777777" w:rsidR="00D2535A" w:rsidRPr="00D2535A" w:rsidRDefault="00D2535A" w:rsidP="00D2535A">
      <w:pPr>
        <w:spacing w:after="210"/>
        <w:jc w:val="both"/>
        <w:rPr>
          <w:rFonts w:eastAsia="Georgia" w:cs="Georgia"/>
        </w:rPr>
      </w:pPr>
      <w:r w:rsidRPr="00D2535A">
        <w:rPr>
          <w:rFonts w:eastAsia="Georgia" w:cs="Georgia"/>
        </w:rPr>
        <w:t xml:space="preserve">La désinformation exploite ce terrain. Des rumeurs mettent en avant la double nationalité réelle ou supposée de certains acteurs, leur passé à l’étranger, leurs liens avec des pays voisins ou des partenaires internationaux, pour suggérer qu’ils ne seraient pas pleinement « </w:t>
      </w:r>
      <w:r w:rsidRPr="00005290">
        <w:rPr>
          <w:rFonts w:eastAsia="Georgia" w:cs="Georgia"/>
          <w:i/>
          <w:iCs/>
        </w:rPr>
        <w:t>centrafricains</w:t>
      </w:r>
      <w:r w:rsidRPr="00D2535A">
        <w:rPr>
          <w:rFonts w:eastAsia="Georgia" w:cs="Georgia"/>
        </w:rPr>
        <w:t xml:space="preserve"> » ou qu’ils ne pourraient pas comprendre les souffrances du pays. Dans le débat public, certains responsables sont déjà présentés comme « </w:t>
      </w:r>
      <w:r w:rsidRPr="00005290">
        <w:rPr>
          <w:rFonts w:eastAsia="Georgia" w:cs="Georgia"/>
          <w:i/>
          <w:iCs/>
        </w:rPr>
        <w:t>travaillant pour l’extérieur</w:t>
      </w:r>
      <w:r w:rsidRPr="00D2535A">
        <w:rPr>
          <w:rFonts w:eastAsia="Georgia" w:cs="Georgia"/>
        </w:rPr>
        <w:t xml:space="preserve"> », « </w:t>
      </w:r>
      <w:r w:rsidRPr="00005290">
        <w:rPr>
          <w:rFonts w:eastAsia="Georgia" w:cs="Georgia"/>
          <w:i/>
          <w:iCs/>
        </w:rPr>
        <w:t>étant du côté des autres</w:t>
      </w:r>
      <w:r w:rsidRPr="00D2535A">
        <w:rPr>
          <w:rFonts w:eastAsia="Georgia" w:cs="Georgia"/>
        </w:rPr>
        <w:t xml:space="preserve"> » ou « </w:t>
      </w:r>
      <w:r w:rsidRPr="00005290">
        <w:rPr>
          <w:rFonts w:eastAsia="Georgia" w:cs="Georgia"/>
          <w:i/>
          <w:iCs/>
        </w:rPr>
        <w:t>n’ayant pas le cœur ici</w:t>
      </w:r>
      <w:r w:rsidRPr="00D2535A">
        <w:rPr>
          <w:rFonts w:eastAsia="Georgia" w:cs="Georgia"/>
        </w:rPr>
        <w:t xml:space="preserve"> », indépendamment de leur trajectoire réelle.</w:t>
      </w:r>
    </w:p>
    <w:p w14:paraId="5AF25B33" w14:textId="77777777" w:rsidR="00D2535A" w:rsidRDefault="00D2535A" w:rsidP="00D2535A">
      <w:pPr>
        <w:spacing w:after="210"/>
        <w:jc w:val="both"/>
        <w:rPr>
          <w:rFonts w:eastAsia="Georgia" w:cs="Georgia"/>
        </w:rPr>
      </w:pPr>
      <w:r w:rsidRPr="00D2535A">
        <w:rPr>
          <w:rFonts w:eastAsia="Georgia" w:cs="Georgia"/>
        </w:rPr>
        <w:t xml:space="preserve">À l’approche de la campagne officielle, cette instrumentalisation de la « </w:t>
      </w:r>
      <w:proofErr w:type="spellStart"/>
      <w:r w:rsidRPr="00D2535A">
        <w:rPr>
          <w:rFonts w:eastAsia="Georgia" w:cs="Georgia"/>
        </w:rPr>
        <w:t>centrafricanité</w:t>
      </w:r>
      <w:proofErr w:type="spellEnd"/>
      <w:r w:rsidRPr="00D2535A">
        <w:rPr>
          <w:rFonts w:eastAsia="Georgia" w:cs="Georgia"/>
        </w:rPr>
        <w:t xml:space="preserve"> » devient un </w:t>
      </w:r>
      <w:r w:rsidRPr="00BA7508">
        <w:rPr>
          <w:rFonts w:eastAsia="Georgia" w:cs="Georgia"/>
        </w:rPr>
        <w:t>outil de disqualification symbolique</w:t>
      </w:r>
      <w:r w:rsidRPr="00D2535A">
        <w:rPr>
          <w:rFonts w:eastAsia="Georgia" w:cs="Georgia"/>
        </w:rPr>
        <w:t xml:space="preserve"> prêt à être mobilisé. Elle permet de distribuer des certificats implicites de légitimité : certains acteurs sont présentés comme « </w:t>
      </w:r>
      <w:r w:rsidRPr="00005290">
        <w:rPr>
          <w:rFonts w:eastAsia="Georgia" w:cs="Georgia"/>
          <w:i/>
          <w:iCs/>
        </w:rPr>
        <w:t>authentiques</w:t>
      </w:r>
      <w:r w:rsidRPr="00D2535A">
        <w:rPr>
          <w:rFonts w:eastAsia="Georgia" w:cs="Georgia"/>
        </w:rPr>
        <w:t xml:space="preserve"> », d’autres comme « </w:t>
      </w:r>
      <w:r w:rsidRPr="00005290">
        <w:rPr>
          <w:rFonts w:eastAsia="Georgia" w:cs="Georgia"/>
          <w:i/>
          <w:iCs/>
        </w:rPr>
        <w:t>importés</w:t>
      </w:r>
      <w:r w:rsidRPr="00D2535A">
        <w:rPr>
          <w:rFonts w:eastAsia="Georgia" w:cs="Georgia"/>
        </w:rPr>
        <w:t xml:space="preserve"> », « </w:t>
      </w:r>
      <w:r w:rsidRPr="00005290">
        <w:rPr>
          <w:rFonts w:eastAsia="Georgia" w:cs="Georgia"/>
          <w:i/>
          <w:iCs/>
        </w:rPr>
        <w:t>téléguidés</w:t>
      </w:r>
      <w:r w:rsidRPr="00D2535A">
        <w:rPr>
          <w:rFonts w:eastAsia="Georgia" w:cs="Georgia"/>
        </w:rPr>
        <w:t xml:space="preserve"> » ou « </w:t>
      </w:r>
      <w:r w:rsidRPr="00005290">
        <w:rPr>
          <w:rFonts w:eastAsia="Georgia" w:cs="Georgia"/>
          <w:i/>
          <w:iCs/>
        </w:rPr>
        <w:t>vendus</w:t>
      </w:r>
      <w:r w:rsidRPr="00D2535A">
        <w:rPr>
          <w:rFonts w:eastAsia="Georgia" w:cs="Georgia"/>
        </w:rPr>
        <w:t xml:space="preserve"> ». Combinée à la désinformation sexiste et aux mythes sur l’argent de la politique, elle produit des hiérarchies invisibles : les femmes, les personnes perçues comme proches des milieux économiques ou internationaux, et celles ayant une expérience à l’étranger sont jugées moins dignes de représenter la nation, quel que soit leur programme, leur ancrage local ou leurs compétences.</w:t>
      </w:r>
    </w:p>
    <w:p w14:paraId="689C07B0" w14:textId="35D3F3A4" w:rsidR="00855B4D" w:rsidRPr="005C622B" w:rsidRDefault="00D2535A" w:rsidP="00D2535A">
      <w:pPr>
        <w:spacing w:after="210"/>
        <w:jc w:val="both"/>
        <w:rPr>
          <w:rFonts w:eastAsia="Georgia" w:cs="Georgia"/>
          <w:b/>
          <w:bCs/>
          <w:color w:val="242852" w:themeColor="text2"/>
        </w:rPr>
      </w:pPr>
      <w:r w:rsidRPr="005C622B">
        <w:rPr>
          <w:rFonts w:eastAsia="Georgia" w:cs="Georgia"/>
          <w:b/>
          <w:bCs/>
          <w:color w:val="242852" w:themeColor="text2"/>
        </w:rPr>
        <w:t xml:space="preserve">Le faisceau de facteurs </w:t>
      </w:r>
      <w:r w:rsidR="00005290">
        <w:rPr>
          <w:rFonts w:eastAsia="Georgia" w:cs="Georgia"/>
          <w:b/>
          <w:bCs/>
          <w:color w:val="242852" w:themeColor="text2"/>
        </w:rPr>
        <w:t>(</w:t>
      </w:r>
      <w:r w:rsidRPr="005C622B">
        <w:rPr>
          <w:rFonts w:eastAsia="Georgia" w:cs="Georgia"/>
          <w:b/>
          <w:bCs/>
          <w:color w:val="242852" w:themeColor="text2"/>
        </w:rPr>
        <w:t xml:space="preserve">climat sexiste de fond, fausses croyances sur les coûts de campagne, rumeurs sur la moralité et la loyauté nationale, ressentiment lié aux trajectoires migratoires, pressions familiales et communautaires </w:t>
      </w:r>
      <w:r w:rsidR="00005290">
        <w:rPr>
          <w:rFonts w:eastAsia="Georgia" w:cs="Georgia"/>
          <w:b/>
          <w:bCs/>
          <w:color w:val="242852" w:themeColor="text2"/>
        </w:rPr>
        <w:t>)</w:t>
      </w:r>
      <w:r w:rsidRPr="005C622B">
        <w:rPr>
          <w:rFonts w:eastAsia="Georgia" w:cs="Georgia"/>
          <w:b/>
          <w:bCs/>
          <w:color w:val="242852" w:themeColor="text2"/>
        </w:rPr>
        <w:t xml:space="preserve"> crée un environnement particulièrement hostile pour les femmes et pour une partie des citoyens issues de la diaspora.</w:t>
      </w:r>
      <w:r w:rsidRPr="005C622B">
        <w:rPr>
          <w:rFonts w:ascii="Segoe UI" w:hAnsi="Segoe UI" w:cs="Segoe UI"/>
          <w:b/>
          <w:bCs/>
          <w:color w:val="242852" w:themeColor="text2"/>
          <w:spacing w:val="2"/>
        </w:rPr>
        <w:t xml:space="preserve"> </w:t>
      </w:r>
      <w:r w:rsidRPr="005C622B">
        <w:rPr>
          <w:rFonts w:eastAsia="Georgia" w:cs="Georgia"/>
          <w:b/>
          <w:bCs/>
          <w:color w:val="242852" w:themeColor="text2"/>
        </w:rPr>
        <w:t>À court terme, il fausse les conditions de la compétition et affaiblit concrètement certaines candidatures, qui doivent consacrer une énergie disproportionnée à survivre à la rumeur plutôt qu’à présenter leurs projets. À moyen terme, il décourage d’autres profils de se projeter en politique, entretient l’idée que l’espace électoral est réservé à quelques catégories d’acteurs, et prolonge un traumatisme collectif fondé sur la souffrance inégalement partagée des années de crise.</w:t>
      </w:r>
    </w:p>
    <w:p w14:paraId="3988A1F8" w14:textId="1041117B" w:rsidR="00856076" w:rsidRPr="00856076" w:rsidRDefault="00CA0697" w:rsidP="00CA0697">
      <w:pPr>
        <w:pStyle w:val="Titre2"/>
        <w:numPr>
          <w:ilvl w:val="0"/>
          <w:numId w:val="61"/>
        </w:numPr>
        <w:rPr>
          <w:rFonts w:eastAsia="Georgia"/>
        </w:rPr>
      </w:pPr>
      <w:bookmarkStart w:id="15" w:name="_Toc216678970"/>
      <w:r w:rsidRPr="00AD6F2C">
        <w:rPr>
          <w:rFonts w:eastAsia="Georgia"/>
        </w:rPr>
        <w:t>Zones grises entre parole et numérique</w:t>
      </w:r>
      <w:bookmarkEnd w:id="15"/>
    </w:p>
    <w:p w14:paraId="05648FE9" w14:textId="1D598887" w:rsidR="00CE6D72" w:rsidRPr="00CE6D72" w:rsidRDefault="00CE6D72" w:rsidP="00CE6D72">
      <w:pPr>
        <w:spacing w:after="210"/>
        <w:jc w:val="both"/>
        <w:rPr>
          <w:rFonts w:eastAsia="Georgia" w:cs="Georgia"/>
        </w:rPr>
      </w:pPr>
      <w:r w:rsidRPr="00CE6D72">
        <w:rPr>
          <w:rFonts w:eastAsia="Georgia" w:cs="Georgia"/>
        </w:rPr>
        <w:t xml:space="preserve">En RCA, l’accès à Internet reste limité et inégal, mais cela ne signifie pas que la désinformation circule moins. Elle circule différemment. Les observations menées à Bouar, dans d’autres villes secondaires, dans des localités rurales et sur des sites comme </w:t>
      </w:r>
      <w:proofErr w:type="spellStart"/>
      <w:r w:rsidRPr="00CE6D72">
        <w:rPr>
          <w:rFonts w:eastAsia="Georgia" w:cs="Georgia"/>
        </w:rPr>
        <w:t>Kaga</w:t>
      </w:r>
      <w:proofErr w:type="spellEnd"/>
      <w:r w:rsidRPr="00CE6D72">
        <w:rPr>
          <w:rFonts w:eastAsia="Georgia" w:cs="Georgia"/>
        </w:rPr>
        <w:t xml:space="preserve"> </w:t>
      </w:r>
      <w:proofErr w:type="spellStart"/>
      <w:r w:rsidRPr="00CE6D72">
        <w:rPr>
          <w:rFonts w:eastAsia="Georgia" w:cs="Georgia"/>
        </w:rPr>
        <w:t>Bandoro</w:t>
      </w:r>
      <w:proofErr w:type="spellEnd"/>
      <w:r w:rsidRPr="00CE6D72">
        <w:rPr>
          <w:rFonts w:eastAsia="Georgia" w:cs="Georgia"/>
        </w:rPr>
        <w:t xml:space="preserve"> montrent que les zones partiellement connectées </w:t>
      </w:r>
      <w:r w:rsidR="0035554A">
        <w:rPr>
          <w:rFonts w:eastAsia="Georgia" w:cs="Georgia"/>
        </w:rPr>
        <w:t xml:space="preserve">( </w:t>
      </w:r>
      <w:r w:rsidRPr="00CE6D72">
        <w:rPr>
          <w:rFonts w:eastAsia="Georgia" w:cs="Georgia"/>
        </w:rPr>
        <w:t>petites villes, périphéries, axes routiers, marchés</w:t>
      </w:r>
      <w:r w:rsidR="0035554A">
        <w:rPr>
          <w:rFonts w:eastAsia="Georgia" w:cs="Georgia"/>
        </w:rPr>
        <w:t>)</w:t>
      </w:r>
      <w:r w:rsidRPr="00CE6D72">
        <w:rPr>
          <w:rFonts w:eastAsia="Georgia" w:cs="Georgia"/>
        </w:rPr>
        <w:t xml:space="preserve"> sont des lieux où l’information se recompose en permanence entre oralité et supports numériques.</w:t>
      </w:r>
    </w:p>
    <w:p w14:paraId="7DF193E4" w14:textId="77777777" w:rsidR="00CE6D72" w:rsidRPr="00CE6D72" w:rsidRDefault="00CE6D72" w:rsidP="00CE6D72">
      <w:pPr>
        <w:spacing w:after="210"/>
        <w:jc w:val="both"/>
        <w:rPr>
          <w:rFonts w:eastAsia="Georgia" w:cs="Georgia"/>
        </w:rPr>
      </w:pPr>
      <w:r w:rsidRPr="00CE6D72">
        <w:rPr>
          <w:rFonts w:eastAsia="Georgia" w:cs="Georgia"/>
        </w:rPr>
        <w:t>Dans ces espaces, un schéma récurrent se dessine. Une rumeur prend d’abord forme dans une conversation : au marché, sur un taxi</w:t>
      </w:r>
      <w:r w:rsidRPr="00CE6D72">
        <w:rPr>
          <w:rFonts w:eastAsia="Georgia" w:cs="Georgia"/>
        </w:rPr>
        <w:noBreakHyphen/>
        <w:t xml:space="preserve">moto, au puits, à la sortie d’un lieu de culte. Elle se nourrit parfois d’un fait réel mal compris (déclaration d’un responsable, incident isolé), parfois d’une vidéo ou d’une information venue d’un autre pays africain et relayée par la diaspora. Un jeune qui possède un smartphone enregistre alors un message vocal, prend une photo, rédige un court texte, et l’envoie dans des groupes WhatsApp locaux ou mixtes (localité–diaspora). Le même contenu est parfois reposté sur Facebook. Il revient ensuite dans l’oralité, renforcé par la formule : « </w:t>
      </w:r>
      <w:r w:rsidRPr="00005290">
        <w:rPr>
          <w:rFonts w:eastAsia="Georgia" w:cs="Georgia"/>
          <w:i/>
          <w:iCs/>
        </w:rPr>
        <w:t>c’est sur Internet</w:t>
      </w:r>
      <w:r w:rsidRPr="00CE6D72">
        <w:rPr>
          <w:rFonts w:eastAsia="Georgia" w:cs="Georgia"/>
        </w:rPr>
        <w:t xml:space="preserve"> », « </w:t>
      </w:r>
      <w:r w:rsidRPr="00005290">
        <w:rPr>
          <w:rFonts w:eastAsia="Georgia" w:cs="Georgia"/>
          <w:i/>
          <w:iCs/>
        </w:rPr>
        <w:t>j’ai vu la vidéo</w:t>
      </w:r>
      <w:r w:rsidRPr="00CE6D72">
        <w:rPr>
          <w:rFonts w:eastAsia="Georgia" w:cs="Georgia"/>
        </w:rPr>
        <w:t xml:space="preserve"> », « </w:t>
      </w:r>
      <w:r w:rsidRPr="00005290">
        <w:rPr>
          <w:rFonts w:eastAsia="Georgia" w:cs="Georgia"/>
          <w:i/>
          <w:iCs/>
        </w:rPr>
        <w:t>ça tourne dans les groupes</w:t>
      </w:r>
      <w:r w:rsidRPr="00CE6D72">
        <w:rPr>
          <w:rFonts w:eastAsia="Georgia" w:cs="Georgia"/>
        </w:rPr>
        <w:t xml:space="preserve"> ».</w:t>
      </w:r>
    </w:p>
    <w:p w14:paraId="37C37F26" w14:textId="77777777" w:rsidR="00CE6D72" w:rsidRPr="00CE6D72" w:rsidRDefault="00CE6D72" w:rsidP="00CE6D72">
      <w:pPr>
        <w:spacing w:after="210"/>
        <w:jc w:val="both"/>
        <w:rPr>
          <w:rFonts w:eastAsia="Georgia" w:cs="Georgia"/>
        </w:rPr>
      </w:pPr>
      <w:r w:rsidRPr="00CE6D72">
        <w:rPr>
          <w:rFonts w:eastAsia="Georgia" w:cs="Georgia"/>
        </w:rPr>
        <w:t xml:space="preserve">Des personnes interrogées évoquent, par exemple, des images de violences commises ailleurs sur le continent, présentées comme des « </w:t>
      </w:r>
      <w:r w:rsidRPr="00005290">
        <w:rPr>
          <w:rFonts w:eastAsia="Georgia" w:cs="Georgia"/>
          <w:i/>
          <w:iCs/>
        </w:rPr>
        <w:t>preuves</w:t>
      </w:r>
      <w:r w:rsidRPr="00CE6D72">
        <w:rPr>
          <w:rFonts w:eastAsia="Georgia" w:cs="Georgia"/>
        </w:rPr>
        <w:t xml:space="preserve"> » de ce qui se passerait ou se préparerait en RCA. D’autres mentionnent des audios anonymes annonçant des fraudes massives ou des arrestations politiques imminentes, qui circulent plusieurs jours avant qu’un démenti ne soit formulé par les autorités ou par des radios reconnues. Dans l’intervalle, la rumeur a déjà produit ses effets : peur, méfiance, retrait.</w:t>
      </w:r>
    </w:p>
    <w:p w14:paraId="61F1AF3E" w14:textId="1AA0F419" w:rsidR="00CE6D72" w:rsidRPr="00CE6D72" w:rsidRDefault="00CE6D72" w:rsidP="00CE6D72">
      <w:pPr>
        <w:spacing w:after="210"/>
        <w:jc w:val="both"/>
        <w:rPr>
          <w:rFonts w:eastAsia="Georgia" w:cs="Georgia"/>
        </w:rPr>
      </w:pPr>
      <w:r>
        <w:rPr>
          <w:rFonts w:eastAsia="Georgia" w:cs="Georgia"/>
          <w:noProof/>
        </w:rPr>
        <w:drawing>
          <wp:anchor distT="0" distB="0" distL="114300" distR="114300" simplePos="0" relativeHeight="251659264" behindDoc="1" locked="0" layoutInCell="1" allowOverlap="1" wp14:anchorId="7990E0A6" wp14:editId="3AA13A4B">
            <wp:simplePos x="0" y="0"/>
            <wp:positionH relativeFrom="margin">
              <wp:align>left</wp:align>
            </wp:positionH>
            <wp:positionV relativeFrom="paragraph">
              <wp:posOffset>62230</wp:posOffset>
            </wp:positionV>
            <wp:extent cx="1901190" cy="3120390"/>
            <wp:effectExtent l="0" t="0" r="3810" b="3810"/>
            <wp:wrapTight wrapText="bothSides">
              <wp:wrapPolygon edited="0">
                <wp:start x="0" y="0"/>
                <wp:lineTo x="0" y="21495"/>
                <wp:lineTo x="21427" y="21495"/>
                <wp:lineTo x="21427" y="0"/>
                <wp:lineTo x="0" y="0"/>
              </wp:wrapPolygon>
            </wp:wrapTight>
            <wp:docPr id="234322327" name="Image 2" descr="Une image contenant texte,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22327" name="Image 2" descr="Une image contenant texte, capture d’écran, logiciel, multimédia&#10;&#10;Le contenu généré par l’IA peut êtr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539" b="21228"/>
                    <a:stretch>
                      <a:fillRect/>
                    </a:stretch>
                  </pic:blipFill>
                  <pic:spPr bwMode="auto">
                    <a:xfrm>
                      <a:off x="0" y="0"/>
                      <a:ext cx="1901190" cy="312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72">
        <w:rPr>
          <w:rFonts w:eastAsia="Georgia" w:cs="Georgia"/>
        </w:rPr>
        <w:t xml:space="preserve">L’exemple de </w:t>
      </w:r>
      <w:proofErr w:type="spellStart"/>
      <w:r w:rsidRPr="00CE6D72">
        <w:rPr>
          <w:rFonts w:eastAsia="Georgia" w:cs="Georgia"/>
        </w:rPr>
        <w:t>Kaga</w:t>
      </w:r>
      <w:proofErr w:type="spellEnd"/>
      <w:r w:rsidRPr="00CE6D72">
        <w:rPr>
          <w:rFonts w:eastAsia="Georgia" w:cs="Georgia"/>
        </w:rPr>
        <w:t xml:space="preserve"> </w:t>
      </w:r>
      <w:proofErr w:type="spellStart"/>
      <w:r w:rsidRPr="00CE6D72">
        <w:rPr>
          <w:rFonts w:eastAsia="Georgia" w:cs="Georgia"/>
        </w:rPr>
        <w:t>Bandoro</w:t>
      </w:r>
      <w:proofErr w:type="spellEnd"/>
      <w:r w:rsidRPr="00CE6D72">
        <w:rPr>
          <w:rFonts w:eastAsia="Georgia" w:cs="Georgia"/>
        </w:rPr>
        <w:t xml:space="preserve"> illustre bien cette logique de « zone grise ». Dans le marché, des bornes ou réseaux de type </w:t>
      </w:r>
      <w:proofErr w:type="spellStart"/>
      <w:r w:rsidRPr="00CE6D72">
        <w:rPr>
          <w:rFonts w:eastAsia="Georgia" w:cs="Georgia"/>
        </w:rPr>
        <w:t>Starlink</w:t>
      </w:r>
      <w:proofErr w:type="spellEnd"/>
      <w:r w:rsidRPr="00CE6D72">
        <w:rPr>
          <w:rFonts w:eastAsia="Georgia" w:cs="Georgia"/>
        </w:rPr>
        <w:t xml:space="preserve"> permettent d’accéder à Internet pour une durée limitée (par exemple 1 heure pour 100 FCFA). Cet accès ponctuel, peu coûteux mais concentré dans certains lieux et sur de courtes plages de temps, alimente une forte demande de contenus « </w:t>
      </w:r>
      <w:r w:rsidRPr="00005290">
        <w:rPr>
          <w:rFonts w:eastAsia="Georgia" w:cs="Georgia"/>
          <w:i/>
          <w:iCs/>
        </w:rPr>
        <w:t xml:space="preserve">à partager </w:t>
      </w:r>
      <w:r w:rsidRPr="00CE6D72">
        <w:rPr>
          <w:rFonts w:eastAsia="Georgia" w:cs="Georgia"/>
        </w:rPr>
        <w:t>» : vidéos, audios, messages écrits que l’on télécharge rapidement pour ensuite les redistribuer hors ligne, en Bluetooth, de téléphone à téléphone, ou en les racontant. La connexion est assez présente pour injecter des contenus parfois produits loin de la RCA ; elle est trop rare et trop brève pour permettre à la majorité des usagers de vérifier les sources, de lire les démentis ou de recouper les informations.</w:t>
      </w:r>
    </w:p>
    <w:p w14:paraId="634FBA11" w14:textId="792AC39A" w:rsidR="00855B4D" w:rsidRDefault="00CE6D72" w:rsidP="00D2535A">
      <w:pPr>
        <w:spacing w:after="210"/>
        <w:jc w:val="both"/>
        <w:rPr>
          <w:rFonts w:eastAsia="Georgia" w:cs="Georgia"/>
        </w:rPr>
      </w:pPr>
      <w:r>
        <w:rPr>
          <w:noProof/>
        </w:rPr>
        <mc:AlternateContent>
          <mc:Choice Requires="wps">
            <w:drawing>
              <wp:anchor distT="0" distB="0" distL="114300" distR="114300" simplePos="0" relativeHeight="251661312" behindDoc="1" locked="0" layoutInCell="1" allowOverlap="1" wp14:anchorId="1E72FECD" wp14:editId="7B18F5E0">
                <wp:simplePos x="0" y="0"/>
                <wp:positionH relativeFrom="margin">
                  <wp:align>left</wp:align>
                </wp:positionH>
                <wp:positionV relativeFrom="paragraph">
                  <wp:posOffset>692917</wp:posOffset>
                </wp:positionV>
                <wp:extent cx="1901190" cy="635"/>
                <wp:effectExtent l="0" t="0" r="3810" b="9525"/>
                <wp:wrapTight wrapText="bothSides">
                  <wp:wrapPolygon edited="0">
                    <wp:start x="0" y="0"/>
                    <wp:lineTo x="0" y="21257"/>
                    <wp:lineTo x="21427" y="21257"/>
                    <wp:lineTo x="21427" y="0"/>
                    <wp:lineTo x="0" y="0"/>
                  </wp:wrapPolygon>
                </wp:wrapTight>
                <wp:docPr id="1465773174" name="Zone de texte 1"/>
                <wp:cNvGraphicFramePr/>
                <a:graphic xmlns:a="http://schemas.openxmlformats.org/drawingml/2006/main">
                  <a:graphicData uri="http://schemas.microsoft.com/office/word/2010/wordprocessingShape">
                    <wps:wsp>
                      <wps:cNvSpPr txBox="1"/>
                      <wps:spPr>
                        <a:xfrm>
                          <a:off x="0" y="0"/>
                          <a:ext cx="1901190" cy="635"/>
                        </a:xfrm>
                        <a:prstGeom prst="rect">
                          <a:avLst/>
                        </a:prstGeom>
                        <a:solidFill>
                          <a:prstClr val="white"/>
                        </a:solidFill>
                        <a:ln>
                          <a:noFill/>
                        </a:ln>
                      </wps:spPr>
                      <wps:txbx>
                        <w:txbxContent>
                          <w:p w14:paraId="0ABB9D37" w14:textId="2F456E18" w:rsidR="00856076" w:rsidRPr="00E237B6" w:rsidRDefault="00856076" w:rsidP="00856076">
                            <w:pPr>
                              <w:pStyle w:val="Lgende"/>
                              <w:rPr>
                                <w:rFonts w:eastAsia="Georgia" w:cs="Georgia"/>
                                <w:noProof/>
                                <w:sz w:val="21"/>
                                <w:szCs w:val="21"/>
                              </w:rPr>
                            </w:pPr>
                            <w:r>
                              <w:rPr>
                                <w:rFonts w:eastAsia="Georgia" w:cs="Georgia"/>
                                <w:noProof/>
                              </w:rPr>
                              <w:fldChar w:fldCharType="begin"/>
                            </w:r>
                            <w:r>
                              <w:rPr>
                                <w:rFonts w:eastAsia="Georgia" w:cs="Georgia"/>
                                <w:noProof/>
                              </w:rPr>
                              <w:instrText xml:space="preserve"> SEQ Figure \* ARABIC </w:instrText>
                            </w:r>
                            <w:r>
                              <w:rPr>
                                <w:rFonts w:eastAsia="Georgia" w:cs="Georgia"/>
                                <w:noProof/>
                              </w:rPr>
                              <w:fldChar w:fldCharType="separate"/>
                            </w:r>
                            <w:r w:rsidR="00005290">
                              <w:rPr>
                                <w:rFonts w:eastAsia="Georgia" w:cs="Georgia"/>
                                <w:noProof/>
                              </w:rPr>
                              <w:t>3</w:t>
                            </w:r>
                            <w:r>
                              <w:rPr>
                                <w:rFonts w:eastAsia="Georgia" w:cs="Georgia"/>
                                <w:noProof/>
                              </w:rPr>
                              <w:fldChar w:fldCharType="end"/>
                            </w:r>
                            <w:r>
                              <w:t xml:space="preserve">Réseaux STARLINK disponibles dans le marché et la ville de </w:t>
                            </w:r>
                            <w:proofErr w:type="spellStart"/>
                            <w:r>
                              <w:t>Kaga</w:t>
                            </w:r>
                            <w:proofErr w:type="spellEnd"/>
                            <w:r>
                              <w:t xml:space="preserve"> </w:t>
                            </w:r>
                            <w:proofErr w:type="spellStart"/>
                            <w:r>
                              <w:t>Bandoro</w:t>
                            </w:r>
                            <w:proofErr w:type="spellEnd"/>
                            <w:r>
                              <w:t xml:space="preserve"> (Na</w:t>
                            </w:r>
                            <w:r>
                              <w:rPr>
                                <w:noProof/>
                              </w:rPr>
                              <w:t>na Grebizi), accessible pour 1h à 100FCFA (soit 15 Centimes d'Euros)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72FECD" id="_x0000_s1028" type="#_x0000_t202" style="position:absolute;left:0;text-align:left;margin-left:0;margin-top:54.55pt;width:149.7pt;height:.05pt;z-index:-2516551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" stroked="f">
                <v:textbox style="mso-fit-shape-to-text:t" inset="0,0,0,0">
                  <w:txbxContent>
                    <w:p w14:paraId="0ABB9D37" w14:textId="2F456E18" w:rsidR="00856076" w:rsidRPr="00E237B6" w:rsidRDefault="00856076" w:rsidP="00856076">
                      <w:pPr>
                        <w:pStyle w:val="Lgende"/>
                        <w:rPr>
                          <w:rFonts w:eastAsia="Georgia" w:cs="Georgia"/>
                          <w:noProof/>
                          <w:sz w:val="21"/>
                          <w:szCs w:val="21"/>
                        </w:rPr>
                      </w:pPr>
                      <w:r>
                        <w:rPr>
                          <w:rFonts w:eastAsia="Georgia" w:cs="Georgia"/>
                          <w:noProof/>
                        </w:rPr>
                        <w:fldChar w:fldCharType="begin"/>
                      </w:r>
                      <w:r>
                        <w:rPr>
                          <w:rFonts w:eastAsia="Georgia" w:cs="Georgia"/>
                          <w:noProof/>
                        </w:rPr>
                        <w:instrText xml:space="preserve"> SEQ Figure \* ARABIC </w:instrText>
                      </w:r>
                      <w:r>
                        <w:rPr>
                          <w:rFonts w:eastAsia="Georgia" w:cs="Georgia"/>
                          <w:noProof/>
                        </w:rPr>
                        <w:fldChar w:fldCharType="separate"/>
                      </w:r>
                      <w:r w:rsidR="00005290">
                        <w:rPr>
                          <w:rFonts w:eastAsia="Georgia" w:cs="Georgia"/>
                          <w:noProof/>
                        </w:rPr>
                        <w:t>3</w:t>
                      </w:r>
                      <w:r>
                        <w:rPr>
                          <w:rFonts w:eastAsia="Georgia" w:cs="Georgia"/>
                          <w:noProof/>
                        </w:rPr>
                        <w:fldChar w:fldCharType="end"/>
                      </w:r>
                      <w:r>
                        <w:t xml:space="preserve">Réseaux STARLINK disponibles dans le marché et la ville de </w:t>
                      </w:r>
                      <w:proofErr w:type="spellStart"/>
                      <w:r>
                        <w:t>Kaga</w:t>
                      </w:r>
                      <w:proofErr w:type="spellEnd"/>
                      <w:r>
                        <w:t xml:space="preserve"> </w:t>
                      </w:r>
                      <w:proofErr w:type="spellStart"/>
                      <w:r>
                        <w:t>Bandoro</w:t>
                      </w:r>
                      <w:proofErr w:type="spellEnd"/>
                      <w:r>
                        <w:t xml:space="preserve"> (Na</w:t>
                      </w:r>
                      <w:r>
                        <w:rPr>
                          <w:noProof/>
                        </w:rPr>
                        <w:t>na Grebizi), accessible pour 1h à 100FCFA (soit 15 Centimes d'Euros)</w:t>
                      </w:r>
                    </w:p>
                  </w:txbxContent>
                </v:textbox>
                <w10:wrap type="tight" anchorx="margin"/>
              </v:shape>
            </w:pict>
          </mc:Fallback>
        </mc:AlternateContent>
      </w:r>
      <w:r w:rsidRPr="00CE6D72">
        <w:rPr>
          <w:rFonts w:eastAsia="Georgia" w:cs="Georgia"/>
        </w:rPr>
        <w:t xml:space="preserve">Dans ces « </w:t>
      </w:r>
      <w:r w:rsidRPr="00005290">
        <w:rPr>
          <w:rFonts w:eastAsia="Georgia" w:cs="Georgia"/>
          <w:i/>
          <w:iCs/>
        </w:rPr>
        <w:t>zones grises</w:t>
      </w:r>
      <w:r w:rsidRPr="00CE6D72">
        <w:rPr>
          <w:rFonts w:eastAsia="Georgia" w:cs="Georgia"/>
        </w:rPr>
        <w:t xml:space="preserve"> », les communiqués officiels et les corrections diffusés en français dans les journaux radiophoniques ou sur des pages institutionnelles atteignent surtout des publics déjà informés. Ils sont rarement retraduits en </w:t>
      </w:r>
      <w:proofErr w:type="spellStart"/>
      <w:r w:rsidRPr="00CE6D72">
        <w:rPr>
          <w:rFonts w:eastAsia="Georgia" w:cs="Georgia"/>
        </w:rPr>
        <w:t>sango</w:t>
      </w:r>
      <w:proofErr w:type="spellEnd"/>
      <w:r w:rsidRPr="00CE6D72">
        <w:rPr>
          <w:rFonts w:eastAsia="Georgia" w:cs="Georgia"/>
        </w:rPr>
        <w:t>, réenregistrés en audio ou repris de manière systématique dans les lieux où la rumeur se diffuse effectivement : marchés, gares routières, lieux de culte, groupes de messagerie locaux. La rumeur bénéficie ainsi d’un double avantage : elle va plus vite, et elle emprunte les langues, les formats et les codes de ceux qu’elle vise. C’est cet avantage structurel, dans les espaces partiellement connectés, qui fait des « zones grises » un cœur névralgique des risques informationnels en RCA.</w:t>
      </w:r>
    </w:p>
    <w:p w14:paraId="73CBE3D8" w14:textId="4A613B93" w:rsidR="00856076" w:rsidRPr="00CA0697" w:rsidRDefault="00CA0697" w:rsidP="00CA0697">
      <w:pPr>
        <w:pStyle w:val="Titre2"/>
        <w:numPr>
          <w:ilvl w:val="0"/>
          <w:numId w:val="61"/>
        </w:numPr>
      </w:pPr>
      <w:bookmarkStart w:id="16" w:name="_Toc216678971"/>
      <w:r w:rsidRPr="00CA0697">
        <w:t>Fracture Bangui–provinces et avance organisationnelle du pouvoir</w:t>
      </w:r>
      <w:bookmarkEnd w:id="16"/>
    </w:p>
    <w:p w14:paraId="6BD39F19" w14:textId="77777777" w:rsidR="0035554A" w:rsidRDefault="0035554A" w:rsidP="00856076">
      <w:pPr>
        <w:spacing w:after="210"/>
        <w:jc w:val="both"/>
        <w:rPr>
          <w:rFonts w:eastAsia="Georgia" w:cs="Georgia"/>
        </w:rPr>
      </w:pPr>
      <w:r w:rsidRPr="00D2535A">
        <w:rPr>
          <w:noProof/>
        </w:rPr>
        <mc:AlternateContent>
          <mc:Choice Requires="wps">
            <w:drawing>
              <wp:anchor distT="0" distB="0" distL="114300" distR="114300" simplePos="0" relativeHeight="251664384" behindDoc="1" locked="0" layoutInCell="1" allowOverlap="1" wp14:anchorId="7DEECBA3" wp14:editId="4561130A">
                <wp:simplePos x="0" y="0"/>
                <wp:positionH relativeFrom="margin">
                  <wp:align>left</wp:align>
                </wp:positionH>
                <wp:positionV relativeFrom="paragraph">
                  <wp:posOffset>1230630</wp:posOffset>
                </wp:positionV>
                <wp:extent cx="3258820" cy="180975"/>
                <wp:effectExtent l="0" t="0" r="0" b="9525"/>
                <wp:wrapTight wrapText="bothSides">
                  <wp:wrapPolygon edited="0">
                    <wp:start x="0" y="0"/>
                    <wp:lineTo x="0" y="20463"/>
                    <wp:lineTo x="21465" y="20463"/>
                    <wp:lineTo x="21465" y="0"/>
                    <wp:lineTo x="0" y="0"/>
                  </wp:wrapPolygon>
                </wp:wrapTight>
                <wp:docPr id="1464294925" name="Zone de texte 1"/>
                <wp:cNvGraphicFramePr/>
                <a:graphic xmlns:a="http://schemas.openxmlformats.org/drawingml/2006/main">
                  <a:graphicData uri="http://schemas.microsoft.com/office/word/2010/wordprocessingShape">
                    <wps:wsp>
                      <wps:cNvSpPr txBox="1"/>
                      <wps:spPr>
                        <a:xfrm>
                          <a:off x="0" y="0"/>
                          <a:ext cx="3258820" cy="180975"/>
                        </a:xfrm>
                        <a:prstGeom prst="rect">
                          <a:avLst/>
                        </a:prstGeom>
                        <a:solidFill>
                          <a:prstClr val="white"/>
                        </a:solidFill>
                        <a:ln>
                          <a:noFill/>
                        </a:ln>
                      </wps:spPr>
                      <wps:txbx>
                        <w:txbxContent>
                          <w:p w14:paraId="51C7C716" w14:textId="1A1ABE48" w:rsidR="00CE6D72" w:rsidRPr="003C19A0" w:rsidRDefault="00CE6D72" w:rsidP="00CE6D72">
                            <w:pPr>
                              <w:pStyle w:val="Lgende"/>
                              <w:rPr>
                                <w:rFonts w:eastAsia="Georgia" w:cs="Georgia"/>
                                <w:noProof/>
                                <w:sz w:val="21"/>
                                <w:szCs w:val="21"/>
                              </w:rPr>
                            </w:pPr>
                            <w:r>
                              <w:t>Copyright - RFI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ECBA3" id="_x0000_s1029" type="#_x0000_t202" style="position:absolute;left:0;text-align:left;margin-left:0;margin-top:96.9pt;width:256.6pt;height:14.25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" stroked="f">
                <v:textbox inset="0,0,0,0">
                  <w:txbxContent>
                    <w:p w14:paraId="51C7C716" w14:textId="1A1ABE48" w:rsidR="00CE6D72" w:rsidRPr="003C19A0" w:rsidRDefault="00CE6D72" w:rsidP="00CE6D72">
                      <w:pPr>
                        <w:pStyle w:val="Lgende"/>
                        <w:rPr>
                          <w:rFonts w:eastAsia="Georgia" w:cs="Georgia"/>
                          <w:noProof/>
                          <w:sz w:val="21"/>
                          <w:szCs w:val="21"/>
                        </w:rPr>
                      </w:pPr>
                      <w:r>
                        <w:t>Copyright - RFI</w:t>
                      </w:r>
                    </w:p>
                  </w:txbxContent>
                </v:textbox>
                <w10:wrap type="tight" anchorx="margin"/>
              </v:shape>
            </w:pict>
          </mc:Fallback>
        </mc:AlternateContent>
      </w:r>
      <w:r>
        <w:rPr>
          <w:rFonts w:eastAsia="Georgia" w:cs="Georgia"/>
          <w:noProof/>
        </w:rPr>
        <w:drawing>
          <wp:anchor distT="0" distB="0" distL="114300" distR="114300" simplePos="0" relativeHeight="251662336" behindDoc="1" locked="0" layoutInCell="1" allowOverlap="1" wp14:anchorId="793CDCDC" wp14:editId="4113C80E">
            <wp:simplePos x="0" y="0"/>
            <wp:positionH relativeFrom="margin">
              <wp:align>left</wp:align>
            </wp:positionH>
            <wp:positionV relativeFrom="paragraph">
              <wp:posOffset>26670</wp:posOffset>
            </wp:positionV>
            <wp:extent cx="2272030" cy="1136015"/>
            <wp:effectExtent l="0" t="0" r="0" b="6985"/>
            <wp:wrapTight wrapText="bothSides">
              <wp:wrapPolygon edited="0">
                <wp:start x="0" y="0"/>
                <wp:lineTo x="0" y="21371"/>
                <wp:lineTo x="21371" y="21371"/>
                <wp:lineTo x="21371" y="0"/>
                <wp:lineTo x="0" y="0"/>
              </wp:wrapPolygon>
            </wp:wrapTight>
            <wp:docPr id="2028306263" name="Image 3" descr="Une image contenant plein air, ciel,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06263" name="Image 3" descr="Une image contenant plein air, ciel, habits, personn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2030" cy="1136015"/>
                    </a:xfrm>
                    <a:prstGeom prst="rect">
                      <a:avLst/>
                    </a:prstGeom>
                  </pic:spPr>
                </pic:pic>
              </a:graphicData>
            </a:graphic>
            <wp14:sizeRelH relativeFrom="page">
              <wp14:pctWidth>0</wp14:pctWidth>
            </wp14:sizeRelH>
            <wp14:sizeRelV relativeFrom="page">
              <wp14:pctHeight>0</wp14:pctHeight>
            </wp14:sizeRelV>
          </wp:anchor>
        </w:drawing>
      </w:r>
      <w:r w:rsidR="00856076" w:rsidRPr="00856076">
        <w:rPr>
          <w:rFonts w:eastAsia="Georgia" w:cs="Georgia"/>
        </w:rPr>
        <w:t>La fracture entre Bangui et les provinces ne se résume pas à des différences d’infrastructures ; elle touche au cœur de l’accès réel à l’information. À Bangui, malgré la désinformation, la plupart des citoyens peuvent potentiellement croiser plusieurs sources : radios, quelques médias en ligne, réseaux sociaux, bouche</w:t>
      </w:r>
      <w:r w:rsidR="00856076" w:rsidRPr="00856076">
        <w:rPr>
          <w:rFonts w:eastAsia="Georgia" w:cs="Georgia"/>
        </w:rPr>
        <w:noBreakHyphen/>
        <w:t>à</w:t>
      </w:r>
      <w:r w:rsidR="00856076" w:rsidRPr="00856076">
        <w:rPr>
          <w:rFonts w:eastAsia="Georgia" w:cs="Georgia"/>
        </w:rPr>
        <w:noBreakHyphen/>
        <w:t>oreille urbain, débats visibles.</w:t>
      </w:r>
    </w:p>
    <w:p w14:paraId="72A7A120" w14:textId="77777777" w:rsidR="0035554A" w:rsidRDefault="0035554A" w:rsidP="00856076">
      <w:pPr>
        <w:spacing w:after="210"/>
        <w:jc w:val="both"/>
        <w:rPr>
          <w:rFonts w:eastAsia="Georgia" w:cs="Georgia"/>
        </w:rPr>
      </w:pPr>
    </w:p>
    <w:p w14:paraId="038A2D19" w14:textId="308B7F83" w:rsidR="00856076" w:rsidRPr="00856076" w:rsidRDefault="00856076" w:rsidP="00856076">
      <w:pPr>
        <w:spacing w:after="210"/>
        <w:jc w:val="both"/>
        <w:rPr>
          <w:rFonts w:eastAsia="Georgia" w:cs="Georgia"/>
        </w:rPr>
      </w:pPr>
      <w:r w:rsidRPr="00856076">
        <w:rPr>
          <w:rFonts w:eastAsia="Georgia" w:cs="Georgia"/>
        </w:rPr>
        <w:t>Dans de nombreuses préfectures, en revanche, l’accès à l’information repose sur un nombre très limité d’acteurs : une ou deux radios communautaires, des leaders religieux, quelques responsables locaux, et quelques groupes WhatsApp ou pages gérés par des administrateurs souvent basés à Bangui ou dans la diaspora. Lorsque ces radios rencontrent des problèmes de carburant ou de matériel – situation régulièrement signalée dans les analyses du secteur –, il n’y a pas d’alternative immédiate pour reprendre leur rôle de médiation. Lorsqu’un leader local se tait, ou relaie à son tour des informations incomplètes, c’est toute une communauté qui se retrouve privée de repères fiables.</w:t>
      </w:r>
    </w:p>
    <w:p w14:paraId="66F0C377" w14:textId="77777777" w:rsidR="00856076" w:rsidRPr="00856076" w:rsidRDefault="00856076" w:rsidP="00856076">
      <w:pPr>
        <w:spacing w:after="210"/>
        <w:jc w:val="both"/>
        <w:rPr>
          <w:rFonts w:eastAsia="Georgia" w:cs="Georgia"/>
        </w:rPr>
      </w:pPr>
      <w:r w:rsidRPr="00856076">
        <w:rPr>
          <w:rFonts w:eastAsia="Georgia" w:cs="Georgia"/>
        </w:rPr>
        <w:t>Cette situation se combine avec une asymétrie de présence politique. Le parti au pouvoir, via le MCU et ses alliés, a construit un réseau dense d’associations locales, de comités de soutien, de mouvements de jeunes et de femmes, souvent enregistrés comme OSC ou groupes communautaires. Dans plusieurs zones, les personnes interrogées signalent que ces structures sont visibles en permanence : réunions, activités sociales, actions caritatives, mobilisation lors de visites officielles. Les autres partis ne disposent pas, à ce stade, d’un maillage comparable en dehors de certains centres urbains.</w:t>
      </w:r>
    </w:p>
    <w:p w14:paraId="3D878C97" w14:textId="69C76618" w:rsidR="00856076" w:rsidRPr="00856076" w:rsidRDefault="00856076" w:rsidP="00856076">
      <w:pPr>
        <w:spacing w:after="210"/>
        <w:jc w:val="both"/>
        <w:rPr>
          <w:rFonts w:eastAsia="Georgia" w:cs="Georgia"/>
        </w:rPr>
      </w:pPr>
      <w:r w:rsidRPr="00856076">
        <w:rPr>
          <w:rFonts w:eastAsia="Georgia" w:cs="Georgia"/>
        </w:rPr>
        <w:t>Cette avance organisationnelle donne au pouvoir une capacité accrue à installer des récits dans les territoires. Quand survient une rumeur, quand une décision nationale est mal comprise, ou quand une période de tension s’ouvre, ce réseau peut réagir rapidement : réunions d’explication, diffusion de messages, relais de consignes. Dans des contextes où les sources pluralistes d’information sont rares, et où les citoyens se fient d’abord aux structures les plus proches, cette asymétrie de présence renforce la capacité d’un acteur à orienter la compréhension collective des événements, y compris en situation de désinformation ou de confusion.</w:t>
      </w:r>
    </w:p>
    <w:p w14:paraId="142946F6" w14:textId="552C65D4" w:rsidR="00856076" w:rsidRPr="00856076" w:rsidRDefault="00CA0697" w:rsidP="00CA0697">
      <w:pPr>
        <w:pStyle w:val="Titre2"/>
        <w:numPr>
          <w:ilvl w:val="0"/>
          <w:numId w:val="61"/>
        </w:numPr>
        <w:rPr>
          <w:rFonts w:eastAsia="Georgia"/>
        </w:rPr>
      </w:pPr>
      <w:bookmarkStart w:id="17" w:name="_Toc216678972"/>
      <w:r w:rsidRPr="00856076">
        <w:rPr>
          <w:rFonts w:eastAsia="Georgia"/>
        </w:rPr>
        <w:t>Diaspora, influences extérieures et économies de la rumeur</w:t>
      </w:r>
      <w:bookmarkEnd w:id="17"/>
    </w:p>
    <w:p w14:paraId="3AD876BA" w14:textId="1D5AD432" w:rsidR="007F1D5D" w:rsidRPr="007F1D5D" w:rsidRDefault="00005290" w:rsidP="007F1D5D">
      <w:pPr>
        <w:spacing w:after="210"/>
        <w:jc w:val="both"/>
        <w:rPr>
          <w:rFonts w:eastAsia="Georgia" w:cs="Georgia"/>
        </w:rPr>
      </w:pPr>
      <w:r>
        <w:rPr>
          <w:noProof/>
        </w:rPr>
        <mc:AlternateContent>
          <mc:Choice Requires="wps">
            <w:drawing>
              <wp:anchor distT="0" distB="0" distL="114300" distR="114300" simplePos="0" relativeHeight="251674624" behindDoc="0" locked="0" layoutInCell="1" allowOverlap="1" wp14:anchorId="6F57681A" wp14:editId="58E4DA84">
                <wp:simplePos x="0" y="0"/>
                <wp:positionH relativeFrom="column">
                  <wp:posOffset>244475</wp:posOffset>
                </wp:positionH>
                <wp:positionV relativeFrom="paragraph">
                  <wp:posOffset>1490345</wp:posOffset>
                </wp:positionV>
                <wp:extent cx="2205990" cy="635"/>
                <wp:effectExtent l="0" t="0" r="0" b="0"/>
                <wp:wrapSquare wrapText="bothSides"/>
                <wp:docPr id="1352458581" name="Zone de texte 1"/>
                <wp:cNvGraphicFramePr/>
                <a:graphic xmlns:a="http://schemas.openxmlformats.org/drawingml/2006/main">
                  <a:graphicData uri="http://schemas.microsoft.com/office/word/2010/wordprocessingShape">
                    <wps:wsp>
                      <wps:cNvSpPr txBox="1"/>
                      <wps:spPr>
                        <a:xfrm>
                          <a:off x="0" y="0"/>
                          <a:ext cx="2205990" cy="635"/>
                        </a:xfrm>
                        <a:prstGeom prst="rect">
                          <a:avLst/>
                        </a:prstGeom>
                        <a:solidFill>
                          <a:prstClr val="white"/>
                        </a:solidFill>
                        <a:ln>
                          <a:noFill/>
                        </a:ln>
                      </wps:spPr>
                      <wps:txbx>
                        <w:txbxContent>
                          <w:p w14:paraId="4C5C15AF" w14:textId="070D3E4E" w:rsidR="00005290" w:rsidRPr="000139CE" w:rsidRDefault="00005290" w:rsidP="00005290">
                            <w:pPr>
                              <w:pStyle w:val="Lgende"/>
                              <w:rPr>
                                <w:rFonts w:eastAsia="Georgia" w:cs="Georgia"/>
                                <w:noProof/>
                                <w:sz w:val="22"/>
                                <w:szCs w:val="22"/>
                              </w:rPr>
                            </w:pPr>
                            <w:r>
                              <w:rPr>
                                <w:rFonts w:eastAsia="Georgia" w:cs="Georgia"/>
                                <w:noProof/>
                              </w:rPr>
                              <w:fldChar w:fldCharType="begin"/>
                            </w:r>
                            <w:r>
                              <w:rPr>
                                <w:rFonts w:eastAsia="Georgia" w:cs="Georgia"/>
                                <w:noProof/>
                              </w:rPr>
                              <w:instrText xml:space="preserve"> SEQ Figure \* ARABIC </w:instrText>
                            </w:r>
                            <w:r>
                              <w:rPr>
                                <w:rFonts w:eastAsia="Georgia" w:cs="Georgia"/>
                                <w:noProof/>
                              </w:rPr>
                              <w:fldChar w:fldCharType="separate"/>
                            </w:r>
                            <w:r>
                              <w:rPr>
                                <w:rFonts w:eastAsia="Georgia" w:cs="Georgia"/>
                                <w:noProof/>
                              </w:rPr>
                              <w:t>4</w:t>
                            </w:r>
                            <w:r>
                              <w:rPr>
                                <w:rFonts w:eastAsia="Georgia" w:cs="Georgia"/>
                                <w:noProof/>
                              </w:rPr>
                              <w:fldChar w:fldCharType="end"/>
                            </w:r>
                            <w:r>
                              <w:t>Diaspora centrafricaine en France (</w:t>
                            </w:r>
                            <w:proofErr w:type="spellStart"/>
                            <w:r>
                              <w:t>Ndjoni</w:t>
                            </w:r>
                            <w:proofErr w:type="spellEnd"/>
                            <w:r>
                              <w:t xml:space="preserve"> Sango)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7681A" id="_x0000_s1030" type="#_x0000_t202" style="position:absolute;left:0;text-align:left;margin-left:19.25pt;margin-top:117.35pt;width:173.7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CjGgIAAD8EAAAOAAAAZHJzL2Uyb0RvYy54bWysU8Fu2zAMvQ/YPwi6L06ytVi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" stroked="f">
                <v:textbox style="mso-fit-shape-to-text:t" inset="0,0,0,0">
                  <w:txbxContent>
                    <w:p w14:paraId="4C5C15AF" w14:textId="070D3E4E" w:rsidR="00005290" w:rsidRPr="000139CE" w:rsidRDefault="00005290" w:rsidP="00005290">
                      <w:pPr>
                        <w:pStyle w:val="Lgende"/>
                        <w:rPr>
                          <w:rFonts w:eastAsia="Georgia" w:cs="Georgia"/>
                          <w:noProof/>
                          <w:sz w:val="22"/>
                          <w:szCs w:val="22"/>
                        </w:rPr>
                      </w:pPr>
                      <w:r>
                        <w:rPr>
                          <w:rFonts w:eastAsia="Georgia" w:cs="Georgia"/>
                          <w:noProof/>
                        </w:rPr>
                        <w:fldChar w:fldCharType="begin"/>
                      </w:r>
                      <w:r>
                        <w:rPr>
                          <w:rFonts w:eastAsia="Georgia" w:cs="Georgia"/>
                          <w:noProof/>
                        </w:rPr>
                        <w:instrText xml:space="preserve"> SEQ Figure \* ARABIC </w:instrText>
                      </w:r>
                      <w:r>
                        <w:rPr>
                          <w:rFonts w:eastAsia="Georgia" w:cs="Georgia"/>
                          <w:noProof/>
                        </w:rPr>
                        <w:fldChar w:fldCharType="separate"/>
                      </w:r>
                      <w:r>
                        <w:rPr>
                          <w:rFonts w:eastAsia="Georgia" w:cs="Georgia"/>
                          <w:noProof/>
                        </w:rPr>
                        <w:t>4</w:t>
                      </w:r>
                      <w:r>
                        <w:rPr>
                          <w:rFonts w:eastAsia="Georgia" w:cs="Georgia"/>
                          <w:noProof/>
                        </w:rPr>
                        <w:fldChar w:fldCharType="end"/>
                      </w:r>
                      <w:r>
                        <w:t>Diaspora centrafricaine en France (</w:t>
                      </w:r>
                      <w:proofErr w:type="spellStart"/>
                      <w:r>
                        <w:t>Ndjoni</w:t>
                      </w:r>
                      <w:proofErr w:type="spellEnd"/>
                      <w:r>
                        <w:t xml:space="preserve"> Sango)</w:t>
                      </w:r>
                    </w:p>
                  </w:txbxContent>
                </v:textbox>
                <w10:wrap type="square"/>
              </v:shape>
            </w:pict>
          </mc:Fallback>
        </mc:AlternateContent>
      </w:r>
      <w:r>
        <w:rPr>
          <w:rFonts w:eastAsia="Georgia" w:cs="Georgia"/>
          <w:noProof/>
        </w:rPr>
        <w:drawing>
          <wp:anchor distT="0" distB="0" distL="114300" distR="114300" simplePos="0" relativeHeight="251672576" behindDoc="0" locked="0" layoutInCell="1" allowOverlap="1" wp14:anchorId="2D3A192D" wp14:editId="1E4FCAB7">
            <wp:simplePos x="0" y="0"/>
            <wp:positionH relativeFrom="margin">
              <wp:posOffset>245027</wp:posOffset>
            </wp:positionH>
            <wp:positionV relativeFrom="margin">
              <wp:posOffset>7036739</wp:posOffset>
            </wp:positionV>
            <wp:extent cx="2205990" cy="1654810"/>
            <wp:effectExtent l="0" t="0" r="3810" b="2540"/>
            <wp:wrapSquare wrapText="bothSides"/>
            <wp:docPr id="427869431" name="Image 6" descr="Une image contenant habits, homme, personn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69431" name="Image 6" descr="Une image contenant habits, homme, personne, plein air&#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5990" cy="1654810"/>
                    </a:xfrm>
                    <a:prstGeom prst="rect">
                      <a:avLst/>
                    </a:prstGeom>
                  </pic:spPr>
                </pic:pic>
              </a:graphicData>
            </a:graphic>
            <wp14:sizeRelH relativeFrom="margin">
              <wp14:pctWidth>0</wp14:pctWidth>
            </wp14:sizeRelH>
            <wp14:sizeRelV relativeFrom="margin">
              <wp14:pctHeight>0</wp14:pctHeight>
            </wp14:sizeRelV>
          </wp:anchor>
        </w:drawing>
      </w:r>
      <w:r w:rsidR="007F1D5D" w:rsidRPr="007F1D5D">
        <w:rPr>
          <w:rFonts w:eastAsia="Georgia" w:cs="Georgia"/>
        </w:rPr>
        <w:t xml:space="preserve">À l’approche du scrutin, la diaspora centrafricaine joue un rôle ambivalent dans la circulation de l’information électorale. D’un côté, certains de ses membres utilisent leur visibilité en ligne pour appeler au calme, encourager la participation ou dénoncer les atteintes aux droits. De l’autre, une partie importante de la production de contenus </w:t>
      </w:r>
      <w:r w:rsidR="00972C84">
        <w:rPr>
          <w:rFonts w:eastAsia="Georgia" w:cs="Georgia"/>
        </w:rPr>
        <w:t>produits par la diaspora</w:t>
      </w:r>
      <w:r w:rsidR="007F1D5D" w:rsidRPr="007F1D5D">
        <w:rPr>
          <w:rFonts w:eastAsia="Georgia" w:cs="Georgia"/>
        </w:rPr>
        <w:t xml:space="preserve"> porte sur des commentaires politiques généraux, souvent déconnectés des détails concrets du processus électoral (calendrier, règles, rôle de l’ANE, procédures de recours).</w:t>
      </w:r>
    </w:p>
    <w:p w14:paraId="1D4F9D42" w14:textId="3D1989FD" w:rsidR="007F1D5D" w:rsidRPr="007F1D5D" w:rsidRDefault="007F1D5D" w:rsidP="007F1D5D">
      <w:pPr>
        <w:spacing w:after="210"/>
        <w:jc w:val="both"/>
        <w:rPr>
          <w:rFonts w:eastAsia="Georgia" w:cs="Georgia"/>
        </w:rPr>
      </w:pPr>
      <w:r w:rsidRPr="007F1D5D">
        <w:rPr>
          <w:rFonts w:eastAsia="Georgia" w:cs="Georgia"/>
        </w:rPr>
        <w:t>Dans les groupes et pages suivis depuis la RCA, les contenus les plus partagés avant la campagne officielle ne sont pas des explications sur le vote, mais des vidéos de chefs d’État ou de figures politiques d’autres pays africains, en particulier du Sahel, valorisées pour leurs discours de rupture et leur « néo</w:t>
      </w:r>
      <w:r w:rsidRPr="007F1D5D">
        <w:rPr>
          <w:rFonts w:eastAsia="Georgia" w:cs="Georgia"/>
        </w:rPr>
        <w:noBreakHyphen/>
        <w:t xml:space="preserve">panafricanisme ». Ces prises de position sont parfois interprétées comme des modèles pour la RCA : appels implicites à rejeter les partenaires internationaux, à « ne pas accepter les résultats », ou à voir toute élection comme un dispositif de confiscation. Lorsque ces messages sont repris par des influenceurs de la diaspora dans des « </w:t>
      </w:r>
      <w:proofErr w:type="spellStart"/>
      <w:r w:rsidRPr="007F1D5D">
        <w:rPr>
          <w:rFonts w:eastAsia="Georgia" w:cs="Georgia"/>
        </w:rPr>
        <w:t>lives</w:t>
      </w:r>
      <w:proofErr w:type="spellEnd"/>
      <w:r w:rsidRPr="007F1D5D">
        <w:rPr>
          <w:rFonts w:eastAsia="Georgia" w:cs="Georgia"/>
        </w:rPr>
        <w:t xml:space="preserve"> » ou des émissions en direct, ils structurent le regard porté sur les élections à venir, sans pour autant expliquer les règles concrètes du scrutin centrafricain.</w:t>
      </w:r>
    </w:p>
    <w:p w14:paraId="12509EBB" w14:textId="46459FD7" w:rsidR="007F1D5D" w:rsidRPr="007F1D5D" w:rsidRDefault="007F1D5D" w:rsidP="007F1D5D">
      <w:pPr>
        <w:spacing w:after="210"/>
        <w:jc w:val="both"/>
        <w:rPr>
          <w:rFonts w:eastAsia="Georgia" w:cs="Georgia"/>
        </w:rPr>
      </w:pPr>
      <w:r w:rsidRPr="007F1D5D">
        <w:rPr>
          <w:rFonts w:eastAsia="Georgia" w:cs="Georgia"/>
        </w:rPr>
        <w:t>Cette situation crée un décalage : des personnes ayant un accès quasi permanent à Internet, mais une connaissance souvent partielle des réalités du terrain électoral (organisation des bureaux, contraintes de sécurité, ressources limitées de l’ANE), occupent une place centrale dans le débat public en ligne. Leur parole est parfois perçue comme plus informée simplement parce qu’elle vient de l’étranger et qu’elle s’appuie sur une grande circulation de contenus. En pratique, ils deviennent ainsi, même sans intention malveillante, des vecteurs de mésinformation électorale : ils amplifient des rumeurs, généralisent à la RCA des scénarios issus d’autres pays, ou présentent comme inévitables des fraudes dont rien ne prouve encore l’existence localement.</w:t>
      </w:r>
    </w:p>
    <w:p w14:paraId="1E650D72" w14:textId="5CACD499" w:rsidR="00856076" w:rsidRDefault="007F1D5D" w:rsidP="00856076">
      <w:pPr>
        <w:spacing w:after="210"/>
        <w:jc w:val="both"/>
        <w:rPr>
          <w:rFonts w:eastAsia="Georgia" w:cs="Georgia"/>
        </w:rPr>
      </w:pPr>
      <w:r w:rsidRPr="007F1D5D">
        <w:rPr>
          <w:rFonts w:eastAsia="Georgia" w:cs="Georgia"/>
        </w:rPr>
        <w:t>Autour de ces flux, on retrouve une petite économie informelle de la rumeur : certains animateurs de pages ou de groupes reçoivent des contributions ou cherchent à accroître leur audience en dramatisant leurs analyses à l’approche du vote. En face, les acteurs de résilience – radios communautaires, OSC, initiatives comme CAP RCA – disposent de moins de visibilité en ligne et de moyens financiers plus modestes pour produire des contenus pédagogiques sur les règles du jeu électoral. Cette asymétrie renforce le risque que, dans l’imaginaire collectif, le scrutin du 28 décembre soit interprété à travers des grilles importées et polarisantes plutôt qu’à partir d’informations précises sur ce qui se passe réellement dans les bureaux de vote.</w:t>
      </w:r>
    </w:p>
    <w:p w14:paraId="664C99D2" w14:textId="77777777" w:rsidR="0035554A" w:rsidRDefault="0035554A" w:rsidP="00856076">
      <w:pPr>
        <w:spacing w:after="210"/>
        <w:jc w:val="both"/>
        <w:rPr>
          <w:rFonts w:eastAsia="Georgia" w:cs="Georgia"/>
        </w:rPr>
      </w:pPr>
    </w:p>
    <w:p w14:paraId="1705D0EB" w14:textId="77777777" w:rsidR="0035554A" w:rsidRDefault="0035554A" w:rsidP="00856076">
      <w:pPr>
        <w:spacing w:after="210"/>
        <w:jc w:val="both"/>
        <w:rPr>
          <w:rFonts w:eastAsia="Georgia" w:cs="Georgia"/>
        </w:rPr>
      </w:pPr>
    </w:p>
    <w:p w14:paraId="280F95E2" w14:textId="77777777" w:rsidR="0035554A" w:rsidRDefault="0035554A" w:rsidP="00856076">
      <w:pPr>
        <w:spacing w:after="210"/>
        <w:jc w:val="both"/>
        <w:rPr>
          <w:rFonts w:eastAsia="Georgia" w:cs="Georgia"/>
        </w:rPr>
      </w:pPr>
    </w:p>
    <w:p w14:paraId="07CD470A" w14:textId="77777777" w:rsidR="0035554A" w:rsidRDefault="0035554A" w:rsidP="00856076">
      <w:pPr>
        <w:spacing w:after="210"/>
        <w:jc w:val="both"/>
        <w:rPr>
          <w:rFonts w:eastAsia="Georgia" w:cs="Georgia"/>
        </w:rPr>
      </w:pPr>
    </w:p>
    <w:p w14:paraId="33C4AE6D" w14:textId="77777777" w:rsidR="0035554A" w:rsidRDefault="0035554A" w:rsidP="00856076">
      <w:pPr>
        <w:spacing w:after="210"/>
        <w:jc w:val="both"/>
        <w:rPr>
          <w:rFonts w:eastAsia="Georgia" w:cs="Georgia"/>
        </w:rPr>
      </w:pPr>
    </w:p>
    <w:p w14:paraId="76D07D21" w14:textId="77777777" w:rsidR="0035554A" w:rsidRDefault="0035554A" w:rsidP="00856076">
      <w:pPr>
        <w:spacing w:after="210"/>
        <w:jc w:val="both"/>
        <w:rPr>
          <w:rFonts w:eastAsia="Georgia" w:cs="Georgia"/>
        </w:rPr>
      </w:pPr>
    </w:p>
    <w:p w14:paraId="147D2D2B" w14:textId="77777777" w:rsidR="0035554A" w:rsidRDefault="0035554A" w:rsidP="00856076">
      <w:pPr>
        <w:spacing w:after="210"/>
        <w:jc w:val="both"/>
        <w:rPr>
          <w:rFonts w:eastAsia="Georgia" w:cs="Georgia"/>
        </w:rPr>
      </w:pPr>
    </w:p>
    <w:p w14:paraId="3369000C" w14:textId="77777777" w:rsidR="00CA0697" w:rsidRDefault="00CA0697" w:rsidP="00856076">
      <w:pPr>
        <w:spacing w:after="210"/>
        <w:jc w:val="both"/>
        <w:rPr>
          <w:rFonts w:eastAsia="Georgia" w:cs="Georgia"/>
        </w:rPr>
      </w:pPr>
    </w:p>
    <w:p w14:paraId="7D39D2AE" w14:textId="77777777" w:rsidR="00CA0697" w:rsidRDefault="00CA0697" w:rsidP="00856076">
      <w:pPr>
        <w:spacing w:after="210"/>
        <w:jc w:val="both"/>
        <w:rPr>
          <w:rFonts w:eastAsia="Georgia" w:cs="Georgia"/>
        </w:rPr>
      </w:pPr>
    </w:p>
    <w:p w14:paraId="75AD3BF5" w14:textId="77777777" w:rsidR="00CA0697" w:rsidRDefault="00CA0697" w:rsidP="00856076">
      <w:pPr>
        <w:spacing w:after="210"/>
        <w:jc w:val="both"/>
        <w:rPr>
          <w:rFonts w:eastAsia="Georgia" w:cs="Georgia"/>
        </w:rPr>
      </w:pPr>
    </w:p>
    <w:p w14:paraId="2C6D6A97" w14:textId="77777777" w:rsidR="00CA0697" w:rsidRDefault="00CA0697" w:rsidP="00856076">
      <w:pPr>
        <w:spacing w:after="210"/>
        <w:jc w:val="both"/>
        <w:rPr>
          <w:rFonts w:eastAsia="Georgia" w:cs="Georgia"/>
        </w:rPr>
      </w:pPr>
    </w:p>
    <w:p w14:paraId="696CE872" w14:textId="7EFF546B" w:rsidR="004A0CBA" w:rsidRPr="00FE3B72" w:rsidRDefault="00CA0697" w:rsidP="00FE3B72">
      <w:pPr>
        <w:pStyle w:val="Titre1"/>
      </w:pPr>
      <w:bookmarkStart w:id="18" w:name="_Toc216678973"/>
      <w:r w:rsidRPr="00FE3B72">
        <w:t>ANALYSE DES RISQUES</w:t>
      </w:r>
      <w:bookmarkEnd w:id="18"/>
      <w:r w:rsidRPr="00FE3B72">
        <w:t xml:space="preserve"> </w:t>
      </w:r>
    </w:p>
    <w:p w14:paraId="121E5C6C" w14:textId="6572E72E" w:rsidR="004A0CBA" w:rsidRPr="004A0CBA" w:rsidRDefault="004A0CBA" w:rsidP="004A0CBA">
      <w:pPr>
        <w:spacing w:after="210" w:line="300" w:lineRule="auto"/>
        <w:jc w:val="both"/>
        <w:rPr>
          <w:rFonts w:eastAsia="Georgia" w:cs="Georgia"/>
        </w:rPr>
      </w:pPr>
      <w:r w:rsidRPr="004A0CBA">
        <w:rPr>
          <w:rFonts w:eastAsia="Georgia" w:cs="Georgia"/>
        </w:rPr>
        <w:t xml:space="preserve">À partir des données quantitatives, des matériaux qualitatifs, des observations de CAP RCA et des échanges de la Journée de l’Observatoire, plusieurs scénarios de risque </w:t>
      </w:r>
      <w:r w:rsidR="00AD6F2C">
        <w:rPr>
          <w:rFonts w:eastAsia="Georgia" w:cs="Georgia"/>
        </w:rPr>
        <w:t>(</w:t>
      </w:r>
      <w:r w:rsidRPr="004A0CBA">
        <w:rPr>
          <w:rFonts w:eastAsia="Georgia" w:cs="Georgia"/>
        </w:rPr>
        <w:t>réalistes et directement activables dans un horizon de quinze jours</w:t>
      </w:r>
      <w:r w:rsidR="00AD6F2C">
        <w:rPr>
          <w:rFonts w:eastAsia="Georgia" w:cs="Georgia"/>
        </w:rPr>
        <w:t>)</w:t>
      </w:r>
      <w:r w:rsidRPr="004A0CBA">
        <w:rPr>
          <w:rFonts w:eastAsia="Georgia" w:cs="Georgia"/>
        </w:rPr>
        <w:t xml:space="preserve"> se dégagent pour la séquence électorale de décembre 2025. Ils ne constituent pas des prédictions, mais des trajectoires plausibles si les vulnérabilités identifiées ne sont pas rapidement contenues.</w:t>
      </w:r>
    </w:p>
    <w:p w14:paraId="054515AF" w14:textId="003F5FBE" w:rsidR="004A0CBA" w:rsidRPr="004A0CBA" w:rsidRDefault="00CA0697" w:rsidP="00FE3B72">
      <w:pPr>
        <w:pStyle w:val="Titre2"/>
        <w:numPr>
          <w:ilvl w:val="0"/>
          <w:numId w:val="63"/>
        </w:numPr>
        <w:rPr>
          <w:rFonts w:eastAsia="Georgia"/>
        </w:rPr>
      </w:pPr>
      <w:bookmarkStart w:id="19" w:name="_Toc216678974"/>
      <w:r w:rsidRPr="004A0CBA">
        <w:rPr>
          <w:rFonts w:eastAsia="Georgia"/>
        </w:rPr>
        <w:t>Abstention différenciée territoriale</w:t>
      </w:r>
      <w:bookmarkEnd w:id="19"/>
    </w:p>
    <w:p w14:paraId="21C120A8" w14:textId="77777777" w:rsidR="007D73BE" w:rsidRDefault="004A0CBA" w:rsidP="004A0CBA">
      <w:pPr>
        <w:spacing w:after="210"/>
        <w:jc w:val="both"/>
        <w:rPr>
          <w:rFonts w:eastAsia="Georgia" w:cs="Georgia"/>
        </w:rPr>
      </w:pPr>
      <w:r w:rsidRPr="004A0CBA">
        <w:rPr>
          <w:rFonts w:eastAsia="Georgia" w:cs="Georgia"/>
        </w:rPr>
        <w:t>Le premier risque concerne la baisse de participation dans certaines zones, en particulier rurales ou périphériques, sous l’effet de rumeurs sécuritaires localisées et non démenties à temps.</w:t>
      </w:r>
      <w:r w:rsidRPr="004A0CBA">
        <w:rPr>
          <w:rFonts w:eastAsia="Georgia" w:cs="Georgia"/>
        </w:rPr>
        <w:br/>
        <w:t>Dans plusieurs localités, les trajectoires observées montrent qu’une simple annonce informelle d’attaque imminente suffit à désorganiser la mobilité, fermer les marchés, disperser les activités sociales et décourager les citoyens de se rendre au bureau de vote.</w:t>
      </w:r>
    </w:p>
    <w:p w14:paraId="0B7BD8CA" w14:textId="25AABA7D" w:rsidR="004A0CBA" w:rsidRPr="004A0CBA" w:rsidRDefault="007D73BE" w:rsidP="004A0CBA">
      <w:pPr>
        <w:spacing w:after="210" w:line="300" w:lineRule="auto"/>
        <w:jc w:val="both"/>
        <w:rPr>
          <w:rFonts w:eastAsia="Georgia" w:cs="Georgia"/>
          <w:b/>
          <w:bCs/>
          <w:color w:val="242852" w:themeColor="text2"/>
        </w:rPr>
      </w:pPr>
      <w:r>
        <w:rPr>
          <w:rFonts w:eastAsia="Georgia" w:cs="Georgia"/>
        </w:rPr>
        <w:t xml:space="preserve"> </w:t>
      </w:r>
      <w:r w:rsidR="004A0CBA" w:rsidRPr="004A0CBA">
        <w:rPr>
          <w:rFonts w:eastAsia="Georgia" w:cs="Georgia"/>
          <w:b/>
          <w:bCs/>
          <w:color w:val="242852" w:themeColor="text2"/>
        </w:rPr>
        <w:t>L’effet principal n’est pas une abstention généralisée, mais une abstention géographiquement asymétrique, aisément exploitable après scrutin pour contester la représentativité des résultats, alimenter des récits de marginalisation ou renforcer la méfiance envers l’ANE.</w:t>
      </w:r>
    </w:p>
    <w:p w14:paraId="76A48A33" w14:textId="4FDF889B" w:rsidR="004A0CBA" w:rsidRPr="00FE3B72" w:rsidRDefault="00CA0697" w:rsidP="00FE3B72">
      <w:pPr>
        <w:pStyle w:val="Titre2"/>
        <w:numPr>
          <w:ilvl w:val="0"/>
          <w:numId w:val="63"/>
        </w:numPr>
        <w:rPr>
          <w:rFonts w:eastAsia="Georgia"/>
        </w:rPr>
      </w:pPr>
      <w:bookmarkStart w:id="20" w:name="_Toc216678975"/>
      <w:r w:rsidRPr="00FE3B72">
        <w:rPr>
          <w:rFonts w:eastAsia="Georgia"/>
        </w:rPr>
        <w:t>Polarisation et tensions communautaires</w:t>
      </w:r>
      <w:bookmarkEnd w:id="20"/>
    </w:p>
    <w:p w14:paraId="77341F89" w14:textId="77777777" w:rsidR="007D73BE" w:rsidRDefault="004A0CBA" w:rsidP="004A0CBA">
      <w:pPr>
        <w:spacing w:after="210"/>
        <w:jc w:val="both"/>
        <w:rPr>
          <w:rFonts w:eastAsia="Georgia" w:cs="Georgia"/>
        </w:rPr>
      </w:pPr>
      <w:r w:rsidRPr="004A0CBA">
        <w:rPr>
          <w:rFonts w:eastAsia="Georgia" w:cs="Georgia"/>
        </w:rPr>
        <w:t xml:space="preserve">La présence simultanée de discours de haine, de mise en doute de la « </w:t>
      </w:r>
      <w:proofErr w:type="spellStart"/>
      <w:r w:rsidRPr="004A0CBA">
        <w:rPr>
          <w:rFonts w:eastAsia="Georgia" w:cs="Georgia"/>
          <w:i/>
          <w:iCs/>
        </w:rPr>
        <w:t>centrafricanité</w:t>
      </w:r>
      <w:proofErr w:type="spellEnd"/>
      <w:r w:rsidRPr="004A0CBA">
        <w:rPr>
          <w:rFonts w:eastAsia="Georgia" w:cs="Georgia"/>
        </w:rPr>
        <w:t xml:space="preserve"> » de certains acteurs, de rumeurs identitaires et de désinformation sexiste crée un terreau propice à une polarisation rapide.</w:t>
      </w:r>
      <w:r w:rsidR="007D73BE">
        <w:rPr>
          <w:rFonts w:eastAsia="Georgia" w:cs="Georgia"/>
        </w:rPr>
        <w:t xml:space="preserve"> </w:t>
      </w:r>
    </w:p>
    <w:p w14:paraId="497EA9B4" w14:textId="24E4C3B1" w:rsidR="00AD6F2C" w:rsidRPr="004A0CBA" w:rsidRDefault="004A0CBA" w:rsidP="004A0CBA">
      <w:pPr>
        <w:spacing w:after="210" w:line="300" w:lineRule="auto"/>
        <w:jc w:val="both"/>
        <w:rPr>
          <w:rFonts w:eastAsia="Georgia" w:cs="Georgia"/>
          <w:b/>
          <w:bCs/>
          <w:color w:val="242852" w:themeColor="text2"/>
        </w:rPr>
      </w:pPr>
      <w:r w:rsidRPr="004A0CBA">
        <w:rPr>
          <w:rFonts w:eastAsia="Georgia" w:cs="Georgia"/>
          <w:b/>
          <w:bCs/>
          <w:color w:val="242852" w:themeColor="text2"/>
        </w:rPr>
        <w:t>La campagne risque alors de se structurer non autour des visions politiques, mais autour d’un affrontement binaire entre « nous » et « eux ».</w:t>
      </w:r>
      <w:r w:rsidR="00AD6F2C" w:rsidRPr="00D55A41">
        <w:rPr>
          <w:rFonts w:eastAsia="Georgia" w:cs="Georgia"/>
          <w:b/>
          <w:bCs/>
          <w:color w:val="242852" w:themeColor="text2"/>
        </w:rPr>
        <w:t xml:space="preserve"> </w:t>
      </w:r>
      <w:r w:rsidRPr="004A0CBA">
        <w:rPr>
          <w:rFonts w:eastAsia="Georgia" w:cs="Georgia"/>
          <w:b/>
          <w:bCs/>
          <w:color w:val="242852" w:themeColor="text2"/>
        </w:rPr>
        <w:t>Cette dynamique identitaire rend le débat électoral plus fragile, intensifie la conflictualité verbale dans les radios interactives et les réseaux sociaux, et augmente la probabilité que des tensions persistent ou se transforment en contestation après le jour du vote.</w:t>
      </w:r>
    </w:p>
    <w:p w14:paraId="328F1A8B" w14:textId="53783C85" w:rsidR="004A0CBA" w:rsidRPr="004A0CBA" w:rsidRDefault="00FE3B72" w:rsidP="00FE3B72">
      <w:pPr>
        <w:pStyle w:val="Titre2"/>
        <w:numPr>
          <w:ilvl w:val="0"/>
          <w:numId w:val="63"/>
        </w:numPr>
        <w:rPr>
          <w:rFonts w:eastAsia="Georgia"/>
        </w:rPr>
      </w:pPr>
      <w:bookmarkStart w:id="21" w:name="_Toc216678976"/>
      <w:r w:rsidRPr="004A0CBA">
        <w:rPr>
          <w:rFonts w:eastAsia="Georgia"/>
        </w:rPr>
        <w:t>Confusion procédurale et défiance envers l’</w:t>
      </w:r>
      <w:r>
        <w:rPr>
          <w:rFonts w:eastAsia="Georgia"/>
        </w:rPr>
        <w:t>ANE</w:t>
      </w:r>
      <w:bookmarkEnd w:id="21"/>
    </w:p>
    <w:p w14:paraId="27F5D02F" w14:textId="74652818" w:rsidR="004A0CBA" w:rsidRPr="004A0CBA" w:rsidRDefault="004A0CBA" w:rsidP="0035554A">
      <w:pPr>
        <w:spacing w:after="210" w:line="300" w:lineRule="auto"/>
        <w:jc w:val="both"/>
        <w:rPr>
          <w:rFonts w:eastAsia="Georgia" w:cs="Georgia"/>
        </w:rPr>
      </w:pPr>
      <w:r w:rsidRPr="004A0CBA">
        <w:rPr>
          <w:rFonts w:eastAsia="Georgia" w:cs="Georgia"/>
        </w:rPr>
        <w:t>En l’absence de communication institutionnelle claire, régulière et multilingue, les lacunes d’information laissent un espace important aux fausses nouvelles concernant :</w:t>
      </w:r>
      <w:r w:rsidR="0035554A">
        <w:rPr>
          <w:rFonts w:eastAsia="Georgia" w:cs="Georgia"/>
        </w:rPr>
        <w:t xml:space="preserve"> </w:t>
      </w:r>
      <w:r w:rsidRPr="004A0CBA">
        <w:rPr>
          <w:rFonts w:eastAsia="Georgia" w:cs="Georgia"/>
        </w:rPr>
        <w:t>les pièces requises pour voter,</w:t>
      </w:r>
      <w:r w:rsidR="0035554A">
        <w:rPr>
          <w:rFonts w:eastAsia="Georgia" w:cs="Georgia"/>
        </w:rPr>
        <w:t xml:space="preserve"> </w:t>
      </w:r>
      <w:r w:rsidRPr="004A0CBA">
        <w:rPr>
          <w:rFonts w:eastAsia="Georgia" w:cs="Georgia"/>
        </w:rPr>
        <w:t>l’organisation des élections groupées,</w:t>
      </w:r>
      <w:r w:rsidR="0035554A">
        <w:rPr>
          <w:rFonts w:eastAsia="Georgia" w:cs="Georgia"/>
        </w:rPr>
        <w:t xml:space="preserve"> </w:t>
      </w:r>
      <w:r w:rsidRPr="004A0CBA">
        <w:rPr>
          <w:rFonts w:eastAsia="Georgia" w:cs="Georgia"/>
        </w:rPr>
        <w:t>la validité du vote,</w:t>
      </w:r>
      <w:r w:rsidR="0035554A">
        <w:rPr>
          <w:rFonts w:eastAsia="Georgia" w:cs="Georgia"/>
        </w:rPr>
        <w:t xml:space="preserve"> </w:t>
      </w:r>
      <w:r w:rsidRPr="004A0CBA">
        <w:rPr>
          <w:rFonts w:eastAsia="Georgia" w:cs="Georgia"/>
        </w:rPr>
        <w:t>les horaires,</w:t>
      </w:r>
      <w:r w:rsidR="0035554A">
        <w:rPr>
          <w:rFonts w:eastAsia="Georgia" w:cs="Georgia"/>
        </w:rPr>
        <w:t xml:space="preserve"> </w:t>
      </w:r>
      <w:r w:rsidRPr="004A0CBA">
        <w:rPr>
          <w:rFonts w:eastAsia="Georgia" w:cs="Georgia"/>
        </w:rPr>
        <w:t>le dépouillement</w:t>
      </w:r>
      <w:r w:rsidR="0035554A">
        <w:rPr>
          <w:rFonts w:eastAsia="Georgia" w:cs="Georgia"/>
        </w:rPr>
        <w:t xml:space="preserve"> </w:t>
      </w:r>
      <w:r w:rsidRPr="004A0CBA">
        <w:rPr>
          <w:rFonts w:eastAsia="Georgia" w:cs="Georgia"/>
        </w:rPr>
        <w:t>ou encore les délais de publication des résultats.</w:t>
      </w:r>
    </w:p>
    <w:p w14:paraId="1C4057B2" w14:textId="49C01CFA" w:rsidR="004A0CBA" w:rsidRPr="004A0CBA" w:rsidRDefault="004A0CBA" w:rsidP="004A0CBA">
      <w:pPr>
        <w:spacing w:after="210" w:line="300" w:lineRule="auto"/>
        <w:jc w:val="both"/>
        <w:rPr>
          <w:rFonts w:eastAsia="Georgia" w:cs="Georgia"/>
          <w:b/>
          <w:bCs/>
          <w:color w:val="242852" w:themeColor="text2"/>
        </w:rPr>
      </w:pPr>
      <w:r w:rsidRPr="004A0CBA">
        <w:rPr>
          <w:rFonts w:eastAsia="Georgia" w:cs="Georgia"/>
          <w:b/>
          <w:bCs/>
          <w:color w:val="242852" w:themeColor="text2"/>
        </w:rPr>
        <w:t xml:space="preserve">Cette confusion nourrit un sentiment de soupçon : si les règles ne sont pas comprises, elles peuvent être facilement interprétées comme ayant « </w:t>
      </w:r>
      <w:r w:rsidRPr="004A0CBA">
        <w:rPr>
          <w:rFonts w:eastAsia="Georgia" w:cs="Georgia"/>
          <w:b/>
          <w:bCs/>
          <w:i/>
          <w:iCs/>
          <w:color w:val="242852" w:themeColor="text2"/>
        </w:rPr>
        <w:t>changé</w:t>
      </w:r>
      <w:r w:rsidRPr="004A0CBA">
        <w:rPr>
          <w:rFonts w:eastAsia="Georgia" w:cs="Georgia"/>
          <w:b/>
          <w:bCs/>
          <w:color w:val="242852" w:themeColor="text2"/>
        </w:rPr>
        <w:t xml:space="preserve"> », « </w:t>
      </w:r>
      <w:r w:rsidRPr="004A0CBA">
        <w:rPr>
          <w:rFonts w:eastAsia="Georgia" w:cs="Georgia"/>
          <w:b/>
          <w:bCs/>
          <w:i/>
          <w:iCs/>
          <w:color w:val="242852" w:themeColor="text2"/>
        </w:rPr>
        <w:t>favorisé quelqu’un</w:t>
      </w:r>
      <w:r w:rsidRPr="004A0CBA">
        <w:rPr>
          <w:rFonts w:eastAsia="Georgia" w:cs="Georgia"/>
          <w:b/>
          <w:bCs/>
          <w:color w:val="242852" w:themeColor="text2"/>
        </w:rPr>
        <w:t xml:space="preserve"> », ou « </w:t>
      </w:r>
      <w:r w:rsidRPr="004A0CBA">
        <w:rPr>
          <w:rFonts w:eastAsia="Georgia" w:cs="Georgia"/>
          <w:b/>
          <w:bCs/>
          <w:i/>
          <w:iCs/>
          <w:color w:val="242852" w:themeColor="text2"/>
        </w:rPr>
        <w:t xml:space="preserve">ouvert la voie à la manipulation </w:t>
      </w:r>
      <w:r w:rsidRPr="004A0CBA">
        <w:rPr>
          <w:rFonts w:eastAsia="Georgia" w:cs="Georgia"/>
          <w:b/>
          <w:bCs/>
          <w:color w:val="242852" w:themeColor="text2"/>
        </w:rPr>
        <w:t>».</w:t>
      </w:r>
      <w:r w:rsidR="0035554A" w:rsidRPr="00D55A41">
        <w:rPr>
          <w:rFonts w:eastAsia="Georgia" w:cs="Georgia"/>
          <w:b/>
          <w:bCs/>
          <w:color w:val="242852" w:themeColor="text2"/>
        </w:rPr>
        <w:t xml:space="preserve"> </w:t>
      </w:r>
      <w:r w:rsidRPr="004A0CBA">
        <w:rPr>
          <w:rFonts w:eastAsia="Georgia" w:cs="Georgia"/>
          <w:b/>
          <w:bCs/>
          <w:color w:val="242852" w:themeColor="text2"/>
        </w:rPr>
        <w:t>Même si les opérations techniques se déroulent correctement, la perception d’opacité peut suffire à éroder la légitimité du scrutin.</w:t>
      </w:r>
    </w:p>
    <w:p w14:paraId="6811C93D" w14:textId="76F722C3" w:rsidR="004A0CBA" w:rsidRPr="004A0CBA" w:rsidRDefault="00FE3B72" w:rsidP="00FE3B72">
      <w:pPr>
        <w:pStyle w:val="Titre2"/>
        <w:numPr>
          <w:ilvl w:val="0"/>
          <w:numId w:val="63"/>
        </w:numPr>
        <w:rPr>
          <w:rFonts w:eastAsia="Georgia"/>
        </w:rPr>
      </w:pPr>
      <w:bookmarkStart w:id="22" w:name="_Toc216678977"/>
      <w:r w:rsidRPr="004A0CBA">
        <w:rPr>
          <w:rFonts w:eastAsia="Georgia"/>
        </w:rPr>
        <w:t>Affaiblissement cible des femmes candidates</w:t>
      </w:r>
      <w:bookmarkEnd w:id="22"/>
    </w:p>
    <w:p w14:paraId="2B0D61F6" w14:textId="7B2E9EAB" w:rsidR="004A0CBA" w:rsidRPr="004A0CBA" w:rsidRDefault="004A0CBA" w:rsidP="0035554A">
      <w:pPr>
        <w:spacing w:after="210" w:line="300" w:lineRule="auto"/>
        <w:jc w:val="both"/>
        <w:rPr>
          <w:rFonts w:eastAsia="Georgia" w:cs="Georgia"/>
        </w:rPr>
      </w:pPr>
      <w:r w:rsidRPr="004A0CBA">
        <w:rPr>
          <w:rFonts w:eastAsia="Georgia" w:cs="Georgia"/>
        </w:rPr>
        <w:t>La désinformation sexiste, déjà documentée dans plusieurs sites, représente un risque spécifique et immédiat.</w:t>
      </w:r>
      <w:r w:rsidR="00D55A41">
        <w:rPr>
          <w:rFonts w:eastAsia="Georgia" w:cs="Georgia"/>
        </w:rPr>
        <w:t xml:space="preserve"> </w:t>
      </w:r>
      <w:r w:rsidRPr="004A0CBA">
        <w:rPr>
          <w:rFonts w:eastAsia="Georgia" w:cs="Georgia"/>
        </w:rPr>
        <w:t>Elle peut :décourager des femmes de se présenter,</w:t>
      </w:r>
      <w:r w:rsidR="0035554A">
        <w:rPr>
          <w:rFonts w:eastAsia="Georgia" w:cs="Georgia"/>
        </w:rPr>
        <w:t xml:space="preserve"> </w:t>
      </w:r>
      <w:r w:rsidRPr="004A0CBA">
        <w:rPr>
          <w:rFonts w:eastAsia="Georgia" w:cs="Georgia"/>
        </w:rPr>
        <w:t>affaiblir les campagnes en cours,</w:t>
      </w:r>
      <w:r w:rsidR="0035554A">
        <w:rPr>
          <w:rFonts w:eastAsia="Georgia" w:cs="Georgia"/>
        </w:rPr>
        <w:t xml:space="preserve"> </w:t>
      </w:r>
      <w:r w:rsidRPr="004A0CBA">
        <w:rPr>
          <w:rFonts w:eastAsia="Georgia" w:cs="Georgia"/>
        </w:rPr>
        <w:t>influencer la perception du public sur la légitimité des femmes à occuper des rôles politiques,</w:t>
      </w:r>
      <w:r w:rsidR="0035554A">
        <w:rPr>
          <w:rFonts w:eastAsia="Georgia" w:cs="Georgia"/>
        </w:rPr>
        <w:t xml:space="preserve"> </w:t>
      </w:r>
      <w:r w:rsidRPr="004A0CBA">
        <w:rPr>
          <w:rFonts w:eastAsia="Georgia" w:cs="Georgia"/>
        </w:rPr>
        <w:t>renforcer l’idée que la politique reste un espace réservé.</w:t>
      </w:r>
    </w:p>
    <w:p w14:paraId="3B73E958" w14:textId="77777777" w:rsidR="004A0CBA" w:rsidRPr="004A0CBA" w:rsidRDefault="004A0CBA" w:rsidP="004A0CBA">
      <w:pPr>
        <w:spacing w:after="210" w:line="300" w:lineRule="auto"/>
        <w:jc w:val="both"/>
        <w:rPr>
          <w:rFonts w:eastAsia="Georgia" w:cs="Georgia"/>
          <w:b/>
          <w:bCs/>
          <w:color w:val="242852" w:themeColor="text2"/>
        </w:rPr>
      </w:pPr>
      <w:r w:rsidRPr="004A0CBA">
        <w:rPr>
          <w:rFonts w:eastAsia="Georgia" w:cs="Georgia"/>
          <w:b/>
          <w:bCs/>
          <w:color w:val="242852" w:themeColor="text2"/>
        </w:rPr>
        <w:t>À la sortie des élections, le risque est de constater une sous-représentation durable des femmes dans les instances issues du scrutin, non pas en raison d’un manque de compétences ou d’ambition, mais en raison d’une violence politique informationnelle acceptée, banalisée ou insuffisamment contrée.</w:t>
      </w:r>
    </w:p>
    <w:p w14:paraId="65D37157" w14:textId="6B162644" w:rsidR="004A0CBA" w:rsidRPr="004A0CBA" w:rsidRDefault="00FE3B72" w:rsidP="00FE3B72">
      <w:pPr>
        <w:pStyle w:val="Titre2"/>
        <w:numPr>
          <w:ilvl w:val="0"/>
          <w:numId w:val="63"/>
        </w:numPr>
        <w:rPr>
          <w:rFonts w:eastAsia="Georgia"/>
        </w:rPr>
      </w:pPr>
      <w:bookmarkStart w:id="23" w:name="_Toc216678978"/>
      <w:r w:rsidRPr="004A0CBA">
        <w:rPr>
          <w:rFonts w:eastAsia="Georgia"/>
        </w:rPr>
        <w:t>Capture narrative de certains territoires</w:t>
      </w:r>
      <w:bookmarkEnd w:id="23"/>
    </w:p>
    <w:p w14:paraId="7BAFFB3B" w14:textId="217282E1" w:rsidR="004A0CBA" w:rsidRPr="004A0CBA" w:rsidRDefault="004A0CBA" w:rsidP="004A0CBA">
      <w:pPr>
        <w:spacing w:after="210" w:line="300" w:lineRule="auto"/>
        <w:jc w:val="both"/>
        <w:rPr>
          <w:rFonts w:eastAsia="Georgia" w:cs="Georgia"/>
        </w:rPr>
      </w:pPr>
      <w:r w:rsidRPr="004A0CBA">
        <w:rPr>
          <w:rFonts w:eastAsia="Georgia" w:cs="Georgia"/>
        </w:rPr>
        <w:t xml:space="preserve">Dans plusieurs zones où l’écosystème informationnel repose sur un très petit nombre de relais </w:t>
      </w:r>
      <w:r w:rsidR="0035554A">
        <w:rPr>
          <w:rFonts w:eastAsia="Georgia" w:cs="Georgia"/>
        </w:rPr>
        <w:t>(</w:t>
      </w:r>
      <w:r w:rsidRPr="004A0CBA">
        <w:rPr>
          <w:rFonts w:eastAsia="Georgia" w:cs="Georgia"/>
        </w:rPr>
        <w:t>une radio</w:t>
      </w:r>
      <w:r w:rsidR="0035554A">
        <w:rPr>
          <w:rFonts w:eastAsia="Georgia" w:cs="Georgia"/>
        </w:rPr>
        <w:t xml:space="preserve"> </w:t>
      </w:r>
      <w:r w:rsidRPr="004A0CBA">
        <w:rPr>
          <w:rFonts w:eastAsia="Georgia" w:cs="Georgia"/>
        </w:rPr>
        <w:t>locale, quelques leaders, des groupes WhatsApp contrôlés par des cercles restreints</w:t>
      </w:r>
      <w:r w:rsidR="0035554A">
        <w:rPr>
          <w:rFonts w:eastAsia="Georgia" w:cs="Georgia"/>
        </w:rPr>
        <w:t xml:space="preserve">) </w:t>
      </w:r>
      <w:r w:rsidRPr="004A0CBA">
        <w:rPr>
          <w:rFonts w:eastAsia="Georgia" w:cs="Georgia"/>
        </w:rPr>
        <w:t>l’absence de communication claire de l’ANE laisse la place à une occupation de l’espace narratif par des acteurs partisans ou extérieurs.</w:t>
      </w:r>
    </w:p>
    <w:p w14:paraId="29460477" w14:textId="2893259E" w:rsidR="004A0CBA" w:rsidRPr="00D55A41" w:rsidRDefault="004A0CBA" w:rsidP="004A0CBA">
      <w:pPr>
        <w:spacing w:after="210"/>
        <w:jc w:val="both"/>
        <w:rPr>
          <w:rFonts w:eastAsia="Georgia" w:cs="Georgia"/>
          <w:b/>
          <w:bCs/>
          <w:color w:val="242852" w:themeColor="text2"/>
        </w:rPr>
      </w:pPr>
      <w:r w:rsidRPr="004A0CBA">
        <w:rPr>
          <w:rFonts w:eastAsia="Georgia" w:cs="Georgia"/>
          <w:b/>
          <w:bCs/>
          <w:color w:val="242852" w:themeColor="text2"/>
        </w:rPr>
        <w:t>Dans ces conditions, la compréhension même du processus électoral peut varier d’un territoire à l’autre.</w:t>
      </w:r>
      <w:r w:rsidR="00FE3B72">
        <w:rPr>
          <w:rFonts w:eastAsia="Georgia" w:cs="Georgia"/>
          <w:b/>
          <w:bCs/>
          <w:color w:val="242852" w:themeColor="text2"/>
        </w:rPr>
        <w:t xml:space="preserve"> </w:t>
      </w:r>
      <w:r w:rsidRPr="004A0CBA">
        <w:rPr>
          <w:rFonts w:eastAsia="Georgia" w:cs="Georgia"/>
          <w:b/>
          <w:bCs/>
          <w:color w:val="242852" w:themeColor="text2"/>
        </w:rPr>
        <w:t>Cela crée un risque de fragmentation profonde : chaque zone construit sa propre version du scrutin, avec son lot de rumeurs, d’interprétations et de récits concurrents.</w:t>
      </w:r>
    </w:p>
    <w:p w14:paraId="036AF879" w14:textId="77777777" w:rsidR="007D73BE" w:rsidRDefault="007D73BE" w:rsidP="007D73BE">
      <w:pPr>
        <w:spacing w:after="210"/>
        <w:jc w:val="both"/>
        <w:rPr>
          <w:rFonts w:eastAsia="Georgia" w:cs="Georgia"/>
        </w:rPr>
      </w:pPr>
    </w:p>
    <w:p w14:paraId="63330EA8" w14:textId="77777777" w:rsidR="007D73BE" w:rsidRDefault="007D73BE" w:rsidP="007D73BE">
      <w:pPr>
        <w:spacing w:after="210"/>
        <w:jc w:val="both"/>
        <w:rPr>
          <w:rFonts w:eastAsia="Georgia" w:cs="Georgia"/>
        </w:rPr>
      </w:pPr>
    </w:p>
    <w:p w14:paraId="250ED483" w14:textId="77777777" w:rsidR="007D73BE" w:rsidRDefault="007D73BE" w:rsidP="007D73BE">
      <w:pPr>
        <w:spacing w:after="210"/>
        <w:jc w:val="both"/>
        <w:rPr>
          <w:rFonts w:eastAsia="Georgia" w:cs="Georgia"/>
        </w:rPr>
      </w:pPr>
    </w:p>
    <w:p w14:paraId="7AE7E395" w14:textId="77777777" w:rsidR="007D73BE" w:rsidRDefault="007D73BE" w:rsidP="007D73BE">
      <w:pPr>
        <w:spacing w:after="210"/>
        <w:jc w:val="both"/>
        <w:rPr>
          <w:rFonts w:eastAsia="Georgia" w:cs="Georgia"/>
        </w:rPr>
      </w:pPr>
    </w:p>
    <w:p w14:paraId="46DB38EF" w14:textId="77777777" w:rsidR="007D73BE" w:rsidRDefault="007D73BE" w:rsidP="007D73BE">
      <w:pPr>
        <w:spacing w:after="210"/>
        <w:jc w:val="both"/>
        <w:rPr>
          <w:rFonts w:eastAsia="Georgia" w:cs="Georgia"/>
        </w:rPr>
      </w:pPr>
    </w:p>
    <w:p w14:paraId="776D2697" w14:textId="77777777" w:rsidR="007D73BE" w:rsidRDefault="007D73BE" w:rsidP="007D73BE">
      <w:pPr>
        <w:spacing w:after="210"/>
        <w:jc w:val="both"/>
        <w:rPr>
          <w:rFonts w:eastAsia="Georgia" w:cs="Georgia"/>
        </w:rPr>
      </w:pPr>
    </w:p>
    <w:p w14:paraId="74654718" w14:textId="77777777" w:rsidR="007D73BE" w:rsidRDefault="007D73BE" w:rsidP="007D73BE">
      <w:pPr>
        <w:spacing w:after="210"/>
        <w:jc w:val="both"/>
        <w:rPr>
          <w:rFonts w:eastAsia="Georgia" w:cs="Georgia"/>
        </w:rPr>
      </w:pPr>
    </w:p>
    <w:p w14:paraId="059AEA62" w14:textId="77777777" w:rsidR="007D73BE" w:rsidRDefault="007D73BE" w:rsidP="007D73BE">
      <w:pPr>
        <w:spacing w:after="210"/>
        <w:jc w:val="both"/>
        <w:rPr>
          <w:rFonts w:eastAsia="Georgia" w:cs="Georgia"/>
        </w:rPr>
      </w:pPr>
    </w:p>
    <w:p w14:paraId="60B97AB2" w14:textId="77777777" w:rsidR="007D73BE" w:rsidRDefault="007D73BE" w:rsidP="007D73BE">
      <w:pPr>
        <w:spacing w:after="210"/>
        <w:jc w:val="both"/>
        <w:rPr>
          <w:rFonts w:eastAsia="Georgia" w:cs="Georgia"/>
        </w:rPr>
      </w:pPr>
    </w:p>
    <w:p w14:paraId="50B0DB48" w14:textId="77777777" w:rsidR="007D73BE" w:rsidRDefault="007D73BE" w:rsidP="007D73BE">
      <w:pPr>
        <w:spacing w:after="210"/>
        <w:jc w:val="both"/>
        <w:rPr>
          <w:rFonts w:eastAsia="Georgia" w:cs="Georgia"/>
          <w:b/>
          <w:bCs/>
        </w:rPr>
      </w:pPr>
    </w:p>
    <w:p w14:paraId="75E60243" w14:textId="77777777" w:rsidR="00FE3B72" w:rsidRDefault="00FE3B72" w:rsidP="007D73BE">
      <w:pPr>
        <w:spacing w:after="210"/>
        <w:jc w:val="both"/>
        <w:rPr>
          <w:rFonts w:eastAsia="Georgia" w:cs="Georgia"/>
          <w:b/>
          <w:bCs/>
        </w:rPr>
      </w:pPr>
    </w:p>
    <w:p w14:paraId="39EEBE32" w14:textId="77777777" w:rsidR="00FE3B72" w:rsidRDefault="00FE3B72" w:rsidP="007D73BE">
      <w:pPr>
        <w:spacing w:after="210"/>
        <w:jc w:val="both"/>
        <w:rPr>
          <w:rFonts w:eastAsia="Georgia" w:cs="Georgia"/>
          <w:b/>
          <w:bCs/>
        </w:rPr>
      </w:pPr>
    </w:p>
    <w:p w14:paraId="776AFBD5" w14:textId="77777777" w:rsidR="00FE3B72" w:rsidRDefault="00FE3B72" w:rsidP="007D73BE">
      <w:pPr>
        <w:spacing w:after="210"/>
        <w:jc w:val="both"/>
        <w:rPr>
          <w:rFonts w:eastAsia="Georgia" w:cs="Georgia"/>
          <w:b/>
          <w:bCs/>
        </w:rPr>
      </w:pPr>
    </w:p>
    <w:p w14:paraId="29932D38" w14:textId="77777777" w:rsidR="00FE3B72" w:rsidRDefault="00FE3B72" w:rsidP="007D73BE">
      <w:pPr>
        <w:spacing w:after="210"/>
        <w:jc w:val="both"/>
        <w:rPr>
          <w:rFonts w:eastAsia="Georgia" w:cs="Georgia"/>
          <w:b/>
          <w:bCs/>
        </w:rPr>
      </w:pPr>
    </w:p>
    <w:p w14:paraId="7587FD1E" w14:textId="77777777" w:rsidR="00FE3B72" w:rsidRDefault="00FE3B72" w:rsidP="007D73BE">
      <w:pPr>
        <w:spacing w:after="210"/>
        <w:jc w:val="both"/>
        <w:rPr>
          <w:rFonts w:eastAsia="Georgia" w:cs="Georgia"/>
          <w:b/>
          <w:bCs/>
        </w:rPr>
      </w:pPr>
    </w:p>
    <w:p w14:paraId="7A055CEA" w14:textId="77777777" w:rsidR="00FE3B72" w:rsidRDefault="00FE3B72" w:rsidP="007D73BE">
      <w:pPr>
        <w:spacing w:after="210"/>
        <w:jc w:val="both"/>
        <w:rPr>
          <w:rFonts w:eastAsia="Georgia" w:cs="Georgia"/>
          <w:b/>
          <w:bCs/>
        </w:rPr>
      </w:pPr>
    </w:p>
    <w:p w14:paraId="0623C781" w14:textId="77777777" w:rsidR="00FE3B72" w:rsidRDefault="00FE3B72" w:rsidP="007D73BE">
      <w:pPr>
        <w:spacing w:after="210"/>
        <w:jc w:val="both"/>
        <w:rPr>
          <w:rFonts w:eastAsia="Georgia" w:cs="Georgia"/>
          <w:b/>
          <w:bCs/>
        </w:rPr>
      </w:pPr>
    </w:p>
    <w:p w14:paraId="089A67E3" w14:textId="2B0DA325" w:rsidR="007D73BE" w:rsidRPr="00FE3B72" w:rsidRDefault="00FE3B72" w:rsidP="00FE3B72">
      <w:pPr>
        <w:pStyle w:val="Titre1"/>
        <w:rPr>
          <w:rFonts w:eastAsia="Georgia"/>
        </w:rPr>
      </w:pPr>
      <w:bookmarkStart w:id="24" w:name="_Toc216678979"/>
      <w:r w:rsidRPr="00FE3B72">
        <w:rPr>
          <w:rFonts w:eastAsia="Georgia"/>
        </w:rPr>
        <w:t xml:space="preserve">RECOMMANDATIONS </w:t>
      </w:r>
      <w:r w:rsidRPr="00FE3B72">
        <w:rPr>
          <w:rStyle w:val="Titre1Car"/>
          <w:b/>
          <w:bCs/>
        </w:rPr>
        <w:t>FINALES</w:t>
      </w:r>
      <w:bookmarkEnd w:id="24"/>
    </w:p>
    <w:p w14:paraId="004EE39C" w14:textId="257596BF" w:rsidR="007D73BE" w:rsidRPr="007D73BE" w:rsidRDefault="007D73BE" w:rsidP="00FE3B72">
      <w:pPr>
        <w:pStyle w:val="Titre2"/>
        <w:numPr>
          <w:ilvl w:val="0"/>
          <w:numId w:val="64"/>
        </w:numPr>
        <w:rPr>
          <w:rFonts w:eastAsia="Georgia"/>
        </w:rPr>
      </w:pPr>
      <w:bookmarkStart w:id="25" w:name="_Toc216678980"/>
      <w:r w:rsidRPr="007D73BE">
        <w:rPr>
          <w:rFonts w:eastAsia="Georgia"/>
        </w:rPr>
        <w:t>Instaurer une parole institutionnelle simple, régulière et identifiée de l’ANE</w:t>
      </w:r>
      <w:bookmarkEnd w:id="25"/>
    </w:p>
    <w:p w14:paraId="598CD9C6" w14:textId="69A29C37" w:rsidR="007D73BE" w:rsidRDefault="007D73BE" w:rsidP="007D73BE">
      <w:pPr>
        <w:spacing w:after="210"/>
        <w:jc w:val="both"/>
        <w:rPr>
          <w:rFonts w:eastAsia="Georgia" w:cs="Georgia"/>
        </w:rPr>
      </w:pPr>
      <w:r w:rsidRPr="007D73BE">
        <w:rPr>
          <w:rFonts w:eastAsia="Georgia" w:cs="Georgia"/>
        </w:rPr>
        <w:t xml:space="preserve">Une communication courte, régulière et reconnaissable de l’Autorité nationale des élections </w:t>
      </w:r>
      <w:r w:rsidR="00005290">
        <w:rPr>
          <w:rFonts w:eastAsia="Georgia" w:cs="Georgia"/>
        </w:rPr>
        <w:t>,</w:t>
      </w:r>
      <w:r w:rsidRPr="007D73BE">
        <w:rPr>
          <w:rFonts w:eastAsia="Georgia" w:cs="Georgia"/>
        </w:rPr>
        <w:t xml:space="preserve">diffusée en français et en </w:t>
      </w:r>
      <w:proofErr w:type="spellStart"/>
      <w:r w:rsidRPr="007D73BE">
        <w:rPr>
          <w:rFonts w:eastAsia="Georgia" w:cs="Georgia"/>
        </w:rPr>
        <w:t>sango</w:t>
      </w:r>
      <w:proofErr w:type="spellEnd"/>
      <w:r w:rsidRPr="007D73BE">
        <w:rPr>
          <w:rFonts w:eastAsia="Georgia" w:cs="Georgia"/>
        </w:rPr>
        <w:t xml:space="preserve">, puis relayée systématiquement par les radios communautaires </w:t>
      </w:r>
      <w:r w:rsidR="00005290">
        <w:rPr>
          <w:rFonts w:eastAsia="Georgia" w:cs="Georgia"/>
        </w:rPr>
        <w:t>,</w:t>
      </w:r>
      <w:r w:rsidRPr="007D73BE">
        <w:rPr>
          <w:rFonts w:eastAsia="Georgia" w:cs="Georgia"/>
        </w:rPr>
        <w:t xml:space="preserve"> constitue la première mesure pour réduire l’emprise des rumeurs. L’objectif n’est pas d’augmenter la quantité de messages, mais d’offrir un repère stable à partir duquel les citoyens peuvent évaluer la crédibilité des informations qui circulent. Dans un système saturé de récits contradictoires, cette présence institutionnelle structurée permet de réduire les “vides informationnels” où les rumeurs sécuritaires, les interprétations erronées et les confusions procédurales prospèrent.</w:t>
      </w:r>
    </w:p>
    <w:p w14:paraId="40843B90" w14:textId="23A84F4F" w:rsidR="007D73BE" w:rsidRPr="007D73BE" w:rsidRDefault="007D73BE" w:rsidP="00FE3B72">
      <w:pPr>
        <w:pStyle w:val="Titre2"/>
        <w:numPr>
          <w:ilvl w:val="0"/>
          <w:numId w:val="64"/>
        </w:numPr>
        <w:rPr>
          <w:rFonts w:eastAsia="Georgia"/>
        </w:rPr>
      </w:pPr>
      <w:bookmarkStart w:id="26" w:name="_Toc216678981"/>
      <w:r w:rsidRPr="007D73BE">
        <w:rPr>
          <w:rFonts w:eastAsia="Georgia"/>
        </w:rPr>
        <w:t>Diffuser un socle national minimal de messages standardisés</w:t>
      </w:r>
      <w:bookmarkEnd w:id="26"/>
    </w:p>
    <w:p w14:paraId="2BEDE060" w14:textId="4515BDA2" w:rsidR="007D73BE" w:rsidRPr="007D73BE" w:rsidRDefault="007D73BE" w:rsidP="007D73BE">
      <w:pPr>
        <w:spacing w:after="210" w:line="300" w:lineRule="auto"/>
        <w:jc w:val="both"/>
        <w:rPr>
          <w:rFonts w:eastAsia="Georgia" w:cs="Georgia"/>
        </w:rPr>
      </w:pPr>
      <w:r w:rsidRPr="007D73BE">
        <w:rPr>
          <w:rFonts w:eastAsia="Georgia" w:cs="Georgia"/>
        </w:rPr>
        <w:t>La mise à disposition d’un document bref regroupant les règles essentielles du vote (calendrier, pièces valides, déroulement des élections groupées, délais de publication des résultats) permettrait de limiter les contradictions involontaires entre radios, OSC, autorités locales et relais communautaires. Ce socle n’a pas vocation à uniformiser les discours, mais à offrir un référentiel commun dans un contexte où les informations circulent à grande vitesse, souvent reformulées et parfois instrumentalisées. En établissant une base commune, on réduit considérablement l’espace laissé aux interprétations manipulatrices.</w:t>
      </w:r>
    </w:p>
    <w:p w14:paraId="38C9C4CB" w14:textId="17307AC6" w:rsidR="007D73BE" w:rsidRPr="007D73BE" w:rsidRDefault="007D73BE" w:rsidP="00FE3B72">
      <w:pPr>
        <w:pStyle w:val="Titre2"/>
        <w:numPr>
          <w:ilvl w:val="0"/>
          <w:numId w:val="64"/>
        </w:numPr>
        <w:rPr>
          <w:rFonts w:eastAsia="Georgia"/>
        </w:rPr>
      </w:pPr>
      <w:bookmarkStart w:id="27" w:name="_Toc216678982"/>
      <w:r w:rsidRPr="007D73BE">
        <w:rPr>
          <w:rFonts w:eastAsia="Georgia"/>
        </w:rPr>
        <w:t>Hiérarchiser les rumeurs pour ajuster la réponse institutionnelle</w:t>
      </w:r>
      <w:bookmarkEnd w:id="27"/>
    </w:p>
    <w:p w14:paraId="2F8F7E15" w14:textId="259EDA37" w:rsidR="007D73BE" w:rsidRPr="007D73BE" w:rsidRDefault="007D73BE" w:rsidP="007D73BE">
      <w:pPr>
        <w:spacing w:after="210" w:line="300" w:lineRule="auto"/>
        <w:jc w:val="both"/>
        <w:rPr>
          <w:rFonts w:eastAsia="Georgia" w:cs="Georgia"/>
        </w:rPr>
      </w:pPr>
      <w:r w:rsidRPr="007D73BE">
        <w:rPr>
          <w:rFonts w:eastAsia="Georgia" w:cs="Georgia"/>
        </w:rPr>
        <w:t xml:space="preserve">La distinction entre rumeurs locales, rumeurs procédurales et rumeurs sécuritaires permet d’introduire une proportionnalité indispensable dans la réponse publique. Les rumeurs strictement locales peuvent être traitées par les acteurs de proximité qui disposent d’une légitimité directe auprès des communautés. En revanche, une rumeur procédurale ou sécuritaire susceptible d’affecter la participation ou d’alimenter des tensions justifie une réponse institutionnelle rapide, idéalement dans les vingt-quatre heures. Cette hiérarchisation évite les </w:t>
      </w:r>
      <w:proofErr w:type="spellStart"/>
      <w:r w:rsidRPr="007D73BE">
        <w:rPr>
          <w:rFonts w:eastAsia="Georgia" w:cs="Georgia"/>
        </w:rPr>
        <w:t>sur-réactions</w:t>
      </w:r>
      <w:proofErr w:type="spellEnd"/>
      <w:r w:rsidRPr="007D73BE">
        <w:rPr>
          <w:rFonts w:eastAsia="Georgia" w:cs="Georgia"/>
        </w:rPr>
        <w:t xml:space="preserve"> </w:t>
      </w:r>
      <w:r>
        <w:rPr>
          <w:rFonts w:eastAsia="Georgia" w:cs="Georgia"/>
        </w:rPr>
        <w:t xml:space="preserve"> </w:t>
      </w:r>
      <w:r w:rsidRPr="007D73BE">
        <w:rPr>
          <w:rFonts w:eastAsia="Georgia" w:cs="Georgia"/>
        </w:rPr>
        <w:t>qui amplifient les récits et les sous-réactions qui laissent s’enraciner des interprétations dangereuses.</w:t>
      </w:r>
    </w:p>
    <w:p w14:paraId="17A99317" w14:textId="21070206" w:rsidR="007D73BE" w:rsidRPr="007D73BE" w:rsidRDefault="007D73BE" w:rsidP="00FE3B72">
      <w:pPr>
        <w:pStyle w:val="Titre2"/>
        <w:numPr>
          <w:ilvl w:val="0"/>
          <w:numId w:val="64"/>
        </w:numPr>
        <w:rPr>
          <w:rFonts w:eastAsia="Georgia"/>
        </w:rPr>
      </w:pPr>
      <w:bookmarkStart w:id="28" w:name="_Toc216678983"/>
      <w:r w:rsidRPr="007D73BE">
        <w:rPr>
          <w:rFonts w:eastAsia="Georgia"/>
        </w:rPr>
        <w:t>Reconnaître explicitement la désinformation sexiste comme un risque électoral</w:t>
      </w:r>
      <w:bookmarkEnd w:id="28"/>
    </w:p>
    <w:p w14:paraId="5F7C97B2" w14:textId="77777777" w:rsidR="007D73BE" w:rsidRPr="007D73BE" w:rsidRDefault="007D73BE" w:rsidP="007D73BE">
      <w:pPr>
        <w:spacing w:after="210" w:line="300" w:lineRule="auto"/>
        <w:jc w:val="both"/>
        <w:rPr>
          <w:rFonts w:eastAsia="Georgia" w:cs="Georgia"/>
        </w:rPr>
      </w:pPr>
      <w:r w:rsidRPr="007D73BE">
        <w:rPr>
          <w:rFonts w:eastAsia="Georgia" w:cs="Georgia"/>
        </w:rPr>
        <w:t>La désinformation sexiste ne constitue pas un simple débordement de campagne, mais un risque électoral à part entière qui affecte la participation politique, la légitimité des candidates et la qualité du débat démocratique. Une prise de position publique des institutions, des radios et des acteurs politiques, affirmant qu’ils refusent de relayer ou de normaliser les attaques fondées sur le genre, est essentielle pour réduire leur circulation. En nommant explicitement ce phénomène, on ferme l’espace de tolérance implicite qui, aujourd’hui, permet à ces contenus de se diffuser sans réel coût politique.</w:t>
      </w:r>
    </w:p>
    <w:p w14:paraId="74655B41" w14:textId="0918CC2C" w:rsidR="007D73BE" w:rsidRPr="007D73BE" w:rsidRDefault="007D73BE" w:rsidP="00FE3B72">
      <w:pPr>
        <w:pStyle w:val="Titre2"/>
        <w:numPr>
          <w:ilvl w:val="0"/>
          <w:numId w:val="64"/>
        </w:numPr>
        <w:rPr>
          <w:rFonts w:eastAsia="Georgia"/>
        </w:rPr>
      </w:pPr>
      <w:bookmarkStart w:id="29" w:name="_Toc216678984"/>
      <w:r w:rsidRPr="007D73BE">
        <w:rPr>
          <w:rFonts w:eastAsia="Georgia"/>
        </w:rPr>
        <w:t>S’appuyer sur les relais sociaux réels comme traducteurs de l’information électorale</w:t>
      </w:r>
      <w:bookmarkEnd w:id="29"/>
    </w:p>
    <w:p w14:paraId="6F6AD129" w14:textId="59BECF2E" w:rsidR="007D73BE" w:rsidRPr="007D73BE" w:rsidRDefault="007D73BE" w:rsidP="007D73BE">
      <w:pPr>
        <w:spacing w:after="210" w:line="300" w:lineRule="auto"/>
        <w:jc w:val="both"/>
        <w:rPr>
          <w:rFonts w:eastAsia="Georgia" w:cs="Georgia"/>
        </w:rPr>
      </w:pPr>
      <w:r w:rsidRPr="007D73BE">
        <w:rPr>
          <w:rFonts w:eastAsia="Georgia" w:cs="Georgia"/>
        </w:rPr>
        <w:t xml:space="preserve">Les OSC, les leaders communautaires et les espaces du quotidien </w:t>
      </w:r>
      <w:r w:rsidR="00D55A41">
        <w:rPr>
          <w:rFonts w:eastAsia="Georgia" w:cs="Georgia"/>
        </w:rPr>
        <w:t>(</w:t>
      </w:r>
      <w:r w:rsidRPr="007D73BE">
        <w:rPr>
          <w:rFonts w:eastAsia="Georgia" w:cs="Georgia"/>
        </w:rPr>
        <w:t>marchés, taxis-motos, lieux de culte, groupes de messagerie</w:t>
      </w:r>
      <w:r w:rsidR="00D55A41">
        <w:rPr>
          <w:rFonts w:eastAsia="Georgia" w:cs="Georgia"/>
        </w:rPr>
        <w:t>)</w:t>
      </w:r>
      <w:r w:rsidRPr="007D73BE">
        <w:rPr>
          <w:rFonts w:eastAsia="Georgia" w:cs="Georgia"/>
        </w:rPr>
        <w:t xml:space="preserve"> jouent un rôle déterminant dans la manière dont les messages institutionnels sont compris, reformulés et relayés. Dans un contexte où l’oralité et les réseaux informels dominent, leur fonction de “traduction sociale” est essentielle : tester comment les messages sont reçus, identifier les zones d’ambiguïté, signaler les rumeurs récurrentes qui nécessitent une clarification publique. Plutôt que de leur demander de créer de nouveaux contenus en urgence, il s’agit de reconnaître et d’appuyer cette fonction d’interprétation, qui constitue l’un des leviers les plus efficaces pour stabiliser l’environnement informationnel à court terme.</w:t>
      </w:r>
    </w:p>
    <w:p w14:paraId="1304B5D0" w14:textId="77777777" w:rsidR="004A0CBA" w:rsidRDefault="004A0CBA" w:rsidP="00856076">
      <w:pPr>
        <w:spacing w:after="210"/>
        <w:jc w:val="both"/>
        <w:rPr>
          <w:rFonts w:eastAsia="Georgia" w:cs="Georgia"/>
        </w:rPr>
      </w:pPr>
    </w:p>
    <w:p w14:paraId="537AD5B6" w14:textId="77777777" w:rsidR="00D22C00" w:rsidRDefault="00D22C00" w:rsidP="003C3977">
      <w:pPr>
        <w:spacing w:after="210"/>
        <w:jc w:val="both"/>
        <w:rPr>
          <w:rFonts w:eastAsia="Georgia" w:cs="Georgia"/>
        </w:rPr>
      </w:pPr>
    </w:p>
    <w:p w14:paraId="296CDA22" w14:textId="77777777" w:rsidR="00D55A41" w:rsidRDefault="00D55A41" w:rsidP="003C3977">
      <w:pPr>
        <w:spacing w:after="210"/>
        <w:jc w:val="both"/>
        <w:rPr>
          <w:rFonts w:eastAsia="Georgia" w:cs="Georgia"/>
        </w:rPr>
      </w:pPr>
    </w:p>
    <w:p w14:paraId="21C09690" w14:textId="77777777" w:rsidR="00D55A41" w:rsidRDefault="00D55A41" w:rsidP="003C3977">
      <w:pPr>
        <w:spacing w:after="210"/>
        <w:jc w:val="both"/>
        <w:rPr>
          <w:rFonts w:eastAsia="Georgia" w:cs="Georgia"/>
        </w:rPr>
      </w:pPr>
    </w:p>
    <w:p w14:paraId="2ADF7139" w14:textId="77777777" w:rsidR="00D55A41" w:rsidRDefault="00D55A41" w:rsidP="003C3977">
      <w:pPr>
        <w:spacing w:after="210"/>
        <w:jc w:val="both"/>
        <w:rPr>
          <w:rFonts w:eastAsia="Georgia" w:cs="Georgia"/>
        </w:rPr>
      </w:pPr>
    </w:p>
    <w:p w14:paraId="0A6B7E43" w14:textId="77777777" w:rsidR="00D55A41" w:rsidRDefault="00D55A41" w:rsidP="003C3977">
      <w:pPr>
        <w:spacing w:after="210"/>
        <w:jc w:val="both"/>
        <w:rPr>
          <w:rFonts w:eastAsia="Georgia" w:cs="Georgia"/>
        </w:rPr>
      </w:pPr>
    </w:p>
    <w:p w14:paraId="61C2D9BF" w14:textId="77777777" w:rsidR="00D55A41" w:rsidRDefault="00D55A41" w:rsidP="003C3977">
      <w:pPr>
        <w:spacing w:after="210"/>
        <w:jc w:val="both"/>
        <w:rPr>
          <w:rFonts w:eastAsia="Georgia" w:cs="Georgia"/>
        </w:rPr>
      </w:pPr>
    </w:p>
    <w:p w14:paraId="2858AA30" w14:textId="77777777" w:rsidR="00D55A41" w:rsidRDefault="00D55A41" w:rsidP="003C3977">
      <w:pPr>
        <w:spacing w:after="210"/>
        <w:jc w:val="both"/>
        <w:rPr>
          <w:rFonts w:eastAsia="Georgia" w:cs="Georgia"/>
        </w:rPr>
      </w:pPr>
    </w:p>
    <w:p w14:paraId="6032DBBA" w14:textId="77777777" w:rsidR="00D55A41" w:rsidRDefault="00D55A41" w:rsidP="003C3977">
      <w:pPr>
        <w:spacing w:after="210"/>
        <w:jc w:val="both"/>
        <w:rPr>
          <w:rFonts w:eastAsia="Georgia" w:cs="Georgia"/>
        </w:rPr>
      </w:pPr>
    </w:p>
    <w:p w14:paraId="00590F06" w14:textId="77777777" w:rsidR="00D55A41" w:rsidRDefault="00D55A41" w:rsidP="003C3977">
      <w:pPr>
        <w:spacing w:after="210"/>
        <w:jc w:val="both"/>
        <w:rPr>
          <w:rFonts w:eastAsia="Georgia" w:cs="Georgia"/>
        </w:rPr>
      </w:pPr>
    </w:p>
    <w:p w14:paraId="296DAA7C" w14:textId="77777777" w:rsidR="00D55A41" w:rsidRDefault="00D55A41" w:rsidP="003C3977">
      <w:pPr>
        <w:spacing w:after="210"/>
        <w:jc w:val="both"/>
        <w:rPr>
          <w:rFonts w:eastAsia="Georgia" w:cs="Georgia"/>
        </w:rPr>
      </w:pPr>
    </w:p>
    <w:p w14:paraId="707C6950" w14:textId="77777777" w:rsidR="00D55A41" w:rsidRDefault="00D55A41" w:rsidP="003C3977">
      <w:pPr>
        <w:spacing w:after="210"/>
        <w:jc w:val="both"/>
        <w:rPr>
          <w:rFonts w:eastAsia="Georgia" w:cs="Georgia"/>
        </w:rPr>
      </w:pPr>
    </w:p>
    <w:p w14:paraId="266310B3" w14:textId="77777777" w:rsidR="00D55A41" w:rsidRDefault="00D55A41" w:rsidP="003C3977">
      <w:pPr>
        <w:spacing w:after="210"/>
        <w:jc w:val="both"/>
        <w:rPr>
          <w:rFonts w:eastAsia="Georgia" w:cs="Georgia"/>
        </w:rPr>
      </w:pPr>
    </w:p>
    <w:p w14:paraId="103EBEC6" w14:textId="77777777" w:rsidR="00D55A41" w:rsidRDefault="00D55A41" w:rsidP="003C3977">
      <w:pPr>
        <w:spacing w:after="210"/>
        <w:jc w:val="both"/>
        <w:rPr>
          <w:rFonts w:eastAsia="Georgia" w:cs="Georgia"/>
        </w:rPr>
      </w:pPr>
    </w:p>
    <w:p w14:paraId="1CB62F54" w14:textId="77777777" w:rsidR="00D55A41" w:rsidRDefault="00D55A41" w:rsidP="003C3977">
      <w:pPr>
        <w:spacing w:after="210"/>
        <w:jc w:val="both"/>
        <w:rPr>
          <w:rFonts w:eastAsia="Georgia" w:cs="Georgia"/>
        </w:rPr>
      </w:pPr>
    </w:p>
    <w:p w14:paraId="55B9171C" w14:textId="77777777" w:rsidR="00D55A41" w:rsidRDefault="00D55A41" w:rsidP="003C3977">
      <w:pPr>
        <w:spacing w:after="210"/>
        <w:jc w:val="both"/>
        <w:rPr>
          <w:rFonts w:eastAsia="Georgia" w:cs="Georgia"/>
        </w:rPr>
      </w:pPr>
    </w:p>
    <w:p w14:paraId="17DE5289" w14:textId="77777777" w:rsidR="00D55A41" w:rsidRDefault="00D55A41" w:rsidP="003C3977">
      <w:pPr>
        <w:spacing w:after="210"/>
        <w:jc w:val="both"/>
        <w:rPr>
          <w:rFonts w:eastAsia="Georgia" w:cs="Georgia"/>
        </w:rPr>
      </w:pPr>
    </w:p>
    <w:p w14:paraId="7719647B" w14:textId="77777777" w:rsidR="00D55A41" w:rsidRDefault="00D55A41" w:rsidP="003C3977">
      <w:pPr>
        <w:spacing w:after="210"/>
        <w:jc w:val="both"/>
        <w:rPr>
          <w:rFonts w:eastAsia="Georgia" w:cs="Georgia"/>
        </w:rPr>
      </w:pPr>
    </w:p>
    <w:p w14:paraId="0F7894F7" w14:textId="77777777" w:rsidR="00534AEA" w:rsidRDefault="00534AEA" w:rsidP="003C3977">
      <w:pPr>
        <w:spacing w:after="210"/>
        <w:jc w:val="both"/>
        <w:rPr>
          <w:rFonts w:eastAsia="Georgia" w:cs="Georgia"/>
        </w:rPr>
      </w:pPr>
    </w:p>
    <w:p w14:paraId="744151CB" w14:textId="77777777" w:rsidR="00534AEA" w:rsidRDefault="00534AEA" w:rsidP="003C3977">
      <w:pPr>
        <w:spacing w:after="210"/>
        <w:jc w:val="both"/>
        <w:rPr>
          <w:rFonts w:eastAsia="Georgia" w:cs="Georgia"/>
        </w:rPr>
      </w:pPr>
    </w:p>
    <w:p w14:paraId="55294257" w14:textId="77777777" w:rsidR="00534AEA" w:rsidRDefault="00534AEA" w:rsidP="003C3977">
      <w:pPr>
        <w:spacing w:after="210"/>
        <w:jc w:val="both"/>
        <w:rPr>
          <w:rFonts w:eastAsia="Georgia" w:cs="Georgia"/>
        </w:rPr>
      </w:pPr>
    </w:p>
    <w:p w14:paraId="7C553EFB" w14:textId="77777777" w:rsidR="00534AEA" w:rsidRDefault="00534AEA" w:rsidP="003C3977">
      <w:pPr>
        <w:spacing w:after="210"/>
        <w:jc w:val="both"/>
        <w:rPr>
          <w:rFonts w:eastAsia="Georgia" w:cs="Georgia"/>
        </w:rPr>
      </w:pPr>
    </w:p>
    <w:p w14:paraId="4968BDB6" w14:textId="77777777" w:rsidR="00534AEA" w:rsidRDefault="00534AEA" w:rsidP="003C3977">
      <w:pPr>
        <w:spacing w:after="210"/>
        <w:jc w:val="both"/>
        <w:rPr>
          <w:rFonts w:eastAsia="Georgia" w:cs="Georgia"/>
        </w:rPr>
      </w:pPr>
    </w:p>
    <w:p w14:paraId="49372263" w14:textId="62C579D4" w:rsidR="00D55A41" w:rsidRPr="00D55A41" w:rsidRDefault="00FE3B72" w:rsidP="00FE3B72">
      <w:pPr>
        <w:pStyle w:val="Titre1"/>
        <w:rPr>
          <w:rFonts w:eastAsia="Georgia"/>
        </w:rPr>
      </w:pPr>
      <w:bookmarkStart w:id="30" w:name="_Toc216678985"/>
      <w:r w:rsidRPr="00D55A41">
        <w:rPr>
          <w:rFonts w:eastAsia="Georgia"/>
        </w:rPr>
        <w:t>CONCLUSION GENERALE</w:t>
      </w:r>
      <w:bookmarkEnd w:id="30"/>
    </w:p>
    <w:p w14:paraId="632F0C93" w14:textId="77777777" w:rsidR="00D55A41" w:rsidRPr="00D55A41" w:rsidRDefault="00D55A41" w:rsidP="00D55A41">
      <w:pPr>
        <w:spacing w:after="210" w:line="300" w:lineRule="auto"/>
        <w:jc w:val="both"/>
        <w:rPr>
          <w:rFonts w:eastAsia="Georgia" w:cs="Georgia"/>
        </w:rPr>
      </w:pPr>
      <w:r w:rsidRPr="00D55A41">
        <w:rPr>
          <w:rFonts w:eastAsia="Georgia" w:cs="Georgia"/>
        </w:rPr>
        <w:t>Les analyses présentées dans ce rapport montrent que la séquence électorale de décembre 2025 s’ouvre dans un environnement informationnel profondément vulnérable, où se combinent rumeurs sécuritaires, confusion procédurale, attaques sexistes, fractures territoriales et asymétries structurelles entre producteurs de désinformation et acteurs de résilience. Ces dynamiques ne relèvent pas d’anomalies ponctuelles ; elles s’inscrivent dans un écosystème marqué par une forte hybridation entre oralité et numérique, par une dépendance persistante à des relais locaux parfois sursollicités, et par une communication institutionnelle insuffisante pour structurer un référentiel commun.</w:t>
      </w:r>
    </w:p>
    <w:p w14:paraId="1F0250BA" w14:textId="72835109" w:rsidR="00D55A41" w:rsidRPr="00D55A41" w:rsidRDefault="00D55A41" w:rsidP="00D55A41">
      <w:pPr>
        <w:spacing w:after="210" w:line="300" w:lineRule="auto"/>
        <w:jc w:val="both"/>
        <w:rPr>
          <w:rFonts w:eastAsia="Georgia" w:cs="Georgia"/>
        </w:rPr>
      </w:pPr>
      <w:r w:rsidRPr="00D55A41">
        <w:rPr>
          <w:rFonts w:eastAsia="Georgia" w:cs="Georgia"/>
        </w:rPr>
        <w:t>Dans ce contexte, et compte tenu du calendrier électoral extrêmement resserré, les marges de manœuvre réalistes ne permettent ni des transformations profondes ni des déploiements massifs de nouveaux dispositifs. L’enjeu immédiat est plus modeste mais tout aussi décisif : limiter la capacité des rumeurs les plus dangereuses à se transformer en crises ouvertes, réduire les zones de confusion qui fragilisent la participation, protéger les catégories les plus ciblées</w:t>
      </w:r>
      <w:r w:rsidR="00534AEA">
        <w:rPr>
          <w:rFonts w:eastAsia="Georgia" w:cs="Georgia"/>
        </w:rPr>
        <w:t> ,</w:t>
      </w:r>
      <w:r w:rsidRPr="00D55A41">
        <w:rPr>
          <w:rFonts w:eastAsia="Georgia" w:cs="Georgia"/>
        </w:rPr>
        <w:t xml:space="preserve"> en particulier les femmes candidates et réintroduire un minimum de cohérence dans la circulation de l’information.</w:t>
      </w:r>
    </w:p>
    <w:p w14:paraId="3C92F420" w14:textId="77777777" w:rsidR="00D55A41" w:rsidRPr="00D55A41" w:rsidRDefault="00D55A41" w:rsidP="00D55A41">
      <w:pPr>
        <w:spacing w:after="210" w:line="300" w:lineRule="auto"/>
        <w:jc w:val="both"/>
        <w:rPr>
          <w:rFonts w:eastAsia="Georgia" w:cs="Georgia"/>
        </w:rPr>
      </w:pPr>
      <w:r w:rsidRPr="00D55A41">
        <w:rPr>
          <w:rFonts w:eastAsia="Georgia" w:cs="Georgia"/>
        </w:rPr>
        <w:t>Au-delà du scrutin, les vulnérabilités identifiées ici ne disparaîtront pas. Elles continueront de structurer l’espace public tant que le pays ne disposera pas d’une communication institutionnelle prévisible et multilingue, de mécanismes durables de clarification, et d’un investissement pérenne dans les radios communautaires et les initiatives locales de cohésion informative. La résilience informationnelle ne peut pas être décrétée en période électorale ; elle se construit dans la continuité, dans la proximité et dans l’ancrage territorial.</w:t>
      </w:r>
    </w:p>
    <w:p w14:paraId="32809536" w14:textId="02C58E70" w:rsidR="00534AEA" w:rsidRDefault="00D55A41" w:rsidP="00D55A41">
      <w:pPr>
        <w:spacing w:after="210" w:line="300" w:lineRule="auto"/>
        <w:jc w:val="both"/>
        <w:rPr>
          <w:rFonts w:eastAsia="Georgia" w:cs="Georgia"/>
          <w:b/>
          <w:bCs/>
          <w:color w:val="242852" w:themeColor="text2"/>
        </w:rPr>
      </w:pPr>
      <w:r w:rsidRPr="00D55A41">
        <w:rPr>
          <w:rFonts w:eastAsia="Georgia" w:cs="Georgia"/>
          <w:b/>
          <w:bCs/>
          <w:color w:val="242852" w:themeColor="text2"/>
        </w:rPr>
        <w:t>Cette analyse rappelle toutefois un élément essentiel : malgré les vulnérabilités, la demande de clarté, de débat et de participation demeure forte. Les citoyens, les radios, les OSC et les acteurs communautaires possèdent des ressources d’interprétation et de vigilance qui, bien mobilisées, constituent un socle réel de résilience démocratique. La courte période électorale qui s’ouvre représente donc moins une fatalité qu’un test : celui de la capacité collective à réduire les risques immédiats, à contenir les effets de la désinformation et à préserver l’intégrité du scrutin dans un environnement sous tension.</w:t>
      </w:r>
    </w:p>
    <w:p w14:paraId="6FB0DA20" w14:textId="77777777" w:rsidR="00972C84" w:rsidRDefault="00972C84" w:rsidP="00D55A41">
      <w:pPr>
        <w:spacing w:after="210" w:line="300" w:lineRule="auto"/>
        <w:jc w:val="both"/>
        <w:rPr>
          <w:rFonts w:eastAsia="Georgia" w:cs="Georgia"/>
          <w:b/>
          <w:bCs/>
          <w:color w:val="242852" w:themeColor="text2"/>
        </w:rPr>
      </w:pPr>
    </w:p>
    <w:p w14:paraId="7B145C78" w14:textId="77777777" w:rsidR="00972C84" w:rsidRDefault="00972C84" w:rsidP="00D55A41">
      <w:pPr>
        <w:spacing w:after="210" w:line="300" w:lineRule="auto"/>
        <w:jc w:val="both"/>
        <w:rPr>
          <w:rFonts w:eastAsia="Georgia" w:cs="Georgia"/>
          <w:b/>
          <w:bCs/>
          <w:color w:val="242852" w:themeColor="text2"/>
        </w:rPr>
      </w:pPr>
    </w:p>
    <w:p w14:paraId="5DB38D90" w14:textId="77777777" w:rsidR="00972C84" w:rsidRDefault="00972C84" w:rsidP="00D55A41">
      <w:pPr>
        <w:spacing w:after="210" w:line="300" w:lineRule="auto"/>
        <w:jc w:val="both"/>
        <w:rPr>
          <w:rFonts w:eastAsia="Georgia" w:cs="Georgia"/>
          <w:b/>
          <w:bCs/>
          <w:color w:val="242852" w:themeColor="text2"/>
        </w:rPr>
      </w:pPr>
    </w:p>
    <w:p w14:paraId="67882E80" w14:textId="77777777" w:rsidR="00972C84" w:rsidRDefault="00972C84" w:rsidP="00D55A41">
      <w:pPr>
        <w:spacing w:after="210" w:line="300" w:lineRule="auto"/>
        <w:jc w:val="both"/>
        <w:rPr>
          <w:rFonts w:eastAsia="Georgia" w:cs="Georgia"/>
          <w:b/>
          <w:bCs/>
          <w:color w:val="242852" w:themeColor="text2"/>
        </w:rPr>
      </w:pPr>
    </w:p>
    <w:p w14:paraId="60F9514C" w14:textId="77777777" w:rsidR="00972C84" w:rsidRDefault="00972C84" w:rsidP="00D55A41">
      <w:pPr>
        <w:spacing w:after="210" w:line="300" w:lineRule="auto"/>
        <w:jc w:val="both"/>
        <w:rPr>
          <w:rFonts w:eastAsia="Georgia" w:cs="Georgia"/>
          <w:b/>
          <w:bCs/>
          <w:color w:val="242852" w:themeColor="text2"/>
        </w:rPr>
      </w:pPr>
    </w:p>
    <w:p w14:paraId="76E0C01B" w14:textId="77777777" w:rsidR="00972C84" w:rsidRPr="00972C84" w:rsidRDefault="00972C84" w:rsidP="00D55A41">
      <w:pPr>
        <w:spacing w:after="210" w:line="300" w:lineRule="auto"/>
        <w:jc w:val="both"/>
        <w:rPr>
          <w:rFonts w:eastAsia="Georgia" w:cs="Georgia"/>
          <w:b/>
          <w:bCs/>
          <w:color w:val="242852" w:themeColor="text2"/>
        </w:rPr>
      </w:pPr>
    </w:p>
    <w:p w14:paraId="605F0BE7" w14:textId="32E1B059" w:rsidR="00047E08" w:rsidRPr="00047E08" w:rsidRDefault="00047E08" w:rsidP="00047E08">
      <w:pPr>
        <w:keepNext/>
        <w:keepLines/>
        <w:pBdr>
          <w:bottom w:val="single" w:sz="4" w:space="2" w:color="ED7D31"/>
        </w:pBdr>
        <w:spacing w:before="360" w:after="120" w:line="240" w:lineRule="auto"/>
        <w:outlineLvl w:val="0"/>
        <w:rPr>
          <w:rFonts w:ascii="Montserrat" w:eastAsia="Times New Roman" w:hAnsi="Montserrat" w:cs="Times New Roman"/>
          <w:b/>
          <w:bCs/>
          <w:color w:val="262626"/>
          <w:sz w:val="40"/>
          <w:szCs w:val="40"/>
        </w:rPr>
      </w:pPr>
      <w:bookmarkStart w:id="31" w:name="_Toc216678986"/>
      <w:r w:rsidRPr="00047E08">
        <w:rPr>
          <w:rFonts w:ascii="Montserrat" w:eastAsia="Times New Roman" w:hAnsi="Montserrat" w:cs="Times New Roman"/>
          <w:b/>
          <w:bCs/>
          <w:color w:val="262626"/>
          <w:sz w:val="40"/>
          <w:szCs w:val="40"/>
        </w:rPr>
        <w:t>« R</w:t>
      </w:r>
      <w:r w:rsidR="00972C84">
        <w:rPr>
          <w:rFonts w:ascii="Montserrat" w:eastAsia="Times New Roman" w:hAnsi="Montserrat" w:cs="Times New Roman"/>
          <w:b/>
          <w:bCs/>
          <w:color w:val="262626"/>
          <w:sz w:val="40"/>
          <w:szCs w:val="40"/>
        </w:rPr>
        <w:t>EGARDS CIVILS</w:t>
      </w:r>
      <w:r w:rsidRPr="00047E08">
        <w:rPr>
          <w:rFonts w:ascii="Montserrat" w:eastAsia="Times New Roman" w:hAnsi="Montserrat" w:cs="Times New Roman"/>
          <w:b/>
          <w:bCs/>
          <w:color w:val="262626"/>
          <w:sz w:val="40"/>
          <w:szCs w:val="40"/>
        </w:rPr>
        <w:t xml:space="preserve"> »</w:t>
      </w:r>
      <w:bookmarkEnd w:id="31"/>
      <w:r w:rsidRPr="00047E08">
        <w:rPr>
          <w:rFonts w:ascii="Montserrat" w:eastAsia="Times New Roman" w:hAnsi="Montserrat" w:cs="Times New Roman"/>
          <w:b/>
          <w:bCs/>
          <w:color w:val="262626"/>
          <w:sz w:val="40"/>
          <w:szCs w:val="40"/>
        </w:rPr>
        <w:t xml:space="preserve"> </w:t>
      </w:r>
    </w:p>
    <w:p w14:paraId="3958782E" w14:textId="77777777" w:rsidR="00047E08" w:rsidRPr="00047E08" w:rsidRDefault="00047E08" w:rsidP="00047E08">
      <w:pPr>
        <w:spacing w:after="0" w:line="240" w:lineRule="auto"/>
        <w:jc w:val="both"/>
        <w:rPr>
          <w:rFonts w:ascii="Montserrat" w:eastAsia="Times New Roman" w:hAnsi="Montserrat" w:cs="Times New Roman"/>
          <w:b/>
          <w:bCs/>
          <w:color w:val="1F3864"/>
          <w:lang w:eastAsia="fr-FR"/>
        </w:rPr>
      </w:pPr>
      <w:r w:rsidRPr="00047E08">
        <w:rPr>
          <w:rFonts w:ascii="Montserrat" w:eastAsia="Times New Roman" w:hAnsi="Montserrat" w:cs="Times New Roman"/>
          <w:b/>
          <w:bCs/>
          <w:color w:val="1F3864"/>
          <w:lang w:eastAsia="fr-FR"/>
        </w:rPr>
        <w:t>"Regards civils" est une revue d’analyse et de perception qui donne la parole à celles et ceux qui vivent et façonnent la République Centrafricaine. À travers des consultations, des entretiens et des groupes de discussion, elle recueille et met en lumière les opinions, les analyses et les recommandations des acteurs centrafricains sur les défis majeurs du pays.</w:t>
      </w:r>
    </w:p>
    <w:p w14:paraId="12075FB2" w14:textId="77777777" w:rsidR="00047E08" w:rsidRPr="00047E08" w:rsidRDefault="00047E08" w:rsidP="00047E08">
      <w:pPr>
        <w:spacing w:after="0" w:line="240" w:lineRule="auto"/>
        <w:jc w:val="both"/>
        <w:rPr>
          <w:rFonts w:ascii="Montserrat" w:eastAsia="Times New Roman" w:hAnsi="Montserrat" w:cs="Times New Roman"/>
          <w:b/>
          <w:bCs/>
          <w:color w:val="1F3864"/>
          <w:lang w:eastAsia="fr-FR"/>
        </w:rPr>
      </w:pPr>
      <w:r w:rsidRPr="00047E08">
        <w:rPr>
          <w:rFonts w:ascii="Montserrat" w:eastAsia="Times New Roman" w:hAnsi="Montserrat" w:cs="Times New Roman"/>
          <w:b/>
          <w:bCs/>
          <w:color w:val="1F3864"/>
          <w:lang w:eastAsia="fr-FR"/>
        </w:rPr>
        <w:t>Son objectif est d’offrir une lecture fidèle et directe des perceptions locales sur les enjeux de paix, de gouvernance et de développement économique et social.</w:t>
      </w:r>
    </w:p>
    <w:p w14:paraId="3FEEE11E" w14:textId="77777777" w:rsidR="00047E08" w:rsidRDefault="00047E08" w:rsidP="00047E08">
      <w:pPr>
        <w:spacing w:after="0" w:line="240" w:lineRule="auto"/>
        <w:jc w:val="both"/>
        <w:rPr>
          <w:rFonts w:ascii="Montserrat" w:eastAsia="Times New Roman" w:hAnsi="Montserrat" w:cs="Times New Roman"/>
          <w:b/>
          <w:bCs/>
          <w:color w:val="1F3864"/>
          <w:lang w:eastAsia="fr-FR"/>
        </w:rPr>
      </w:pPr>
      <w:r w:rsidRPr="00047E08">
        <w:rPr>
          <w:rFonts w:ascii="Montserrat" w:eastAsia="Times New Roman" w:hAnsi="Montserrat" w:cs="Times New Roman"/>
          <w:b/>
          <w:bCs/>
          <w:color w:val="1F3864"/>
          <w:lang w:eastAsia="fr-FR"/>
        </w:rPr>
        <w:t>Elle s’adresse aux décideurs politiques, aux acteurs du développement, aux chercheurs et aux citoyens engagés, désireux de mieux comprendre les dynamiques centrafricaines à travers le prisme des perceptions locales.</w:t>
      </w:r>
    </w:p>
    <w:p w14:paraId="4DE469C7" w14:textId="77777777" w:rsidR="00972C84" w:rsidRPr="00047E08" w:rsidRDefault="00972C84" w:rsidP="00047E08">
      <w:pPr>
        <w:spacing w:after="0" w:line="240" w:lineRule="auto"/>
        <w:jc w:val="both"/>
        <w:rPr>
          <w:rFonts w:ascii="Montserrat" w:eastAsia="Times New Roman" w:hAnsi="Montserrat" w:cs="Times New Roman"/>
          <w:b/>
          <w:bCs/>
          <w:color w:val="1F3864"/>
          <w:lang w:eastAsia="fr-FR"/>
        </w:rPr>
      </w:pPr>
    </w:p>
    <w:p w14:paraId="60047EBA" w14:textId="77777777" w:rsidR="00047E08" w:rsidRPr="00047E08" w:rsidRDefault="00047E08" w:rsidP="00047E08">
      <w:pPr>
        <w:spacing w:after="0" w:line="240" w:lineRule="auto"/>
        <w:jc w:val="both"/>
        <w:rPr>
          <w:rFonts w:ascii="Montserrat" w:eastAsia="Times New Roman" w:hAnsi="Montserrat" w:cs="Times New Roman"/>
          <w:b/>
          <w:bCs/>
          <w:color w:val="1F3864"/>
          <w:lang w:eastAsia="fr-FR"/>
        </w:rPr>
      </w:pPr>
    </w:p>
    <w:p w14:paraId="277E9C7C" w14:textId="77777777" w:rsidR="00047E08" w:rsidRPr="00047E08" w:rsidRDefault="00047E08" w:rsidP="00047E08">
      <w:pPr>
        <w:spacing w:after="0" w:line="240" w:lineRule="auto"/>
        <w:jc w:val="both"/>
        <w:rPr>
          <w:rFonts w:ascii="Montserrat" w:eastAsia="Times New Roman" w:hAnsi="Montserrat" w:cs="Times New Roman"/>
          <w:b/>
          <w:bCs/>
          <w:color w:val="ED7D31"/>
          <w:lang w:eastAsia="fr-FR"/>
        </w:rPr>
      </w:pPr>
      <w:r w:rsidRPr="00047E08">
        <w:rPr>
          <w:rFonts w:ascii="Montserrat" w:eastAsia="Times New Roman" w:hAnsi="Montserrat" w:cs="Times New Roman"/>
          <w:b/>
          <w:bCs/>
          <w:color w:val="ED7D31"/>
          <w:lang w:eastAsia="fr-FR"/>
        </w:rPr>
        <w:t>POURQUOI "REGARDS CIVILS" ?</w:t>
      </w:r>
    </w:p>
    <w:p w14:paraId="3F45FEA3" w14:textId="77777777" w:rsidR="00047E08" w:rsidRPr="00047E08" w:rsidRDefault="00047E08" w:rsidP="00047E08">
      <w:pPr>
        <w:spacing w:after="0" w:line="240" w:lineRule="auto"/>
        <w:jc w:val="both"/>
        <w:rPr>
          <w:rFonts w:ascii="Montserrat" w:eastAsia="Times New Roman" w:hAnsi="Montserrat" w:cs="Times New Roman"/>
          <w:lang w:eastAsia="fr-FR"/>
        </w:rPr>
      </w:pPr>
    </w:p>
    <w:p w14:paraId="7B4698E4" w14:textId="77777777" w:rsidR="00047E08" w:rsidRPr="00047E08" w:rsidRDefault="00047E08" w:rsidP="00047E08">
      <w:pPr>
        <w:spacing w:after="0" w:line="240" w:lineRule="auto"/>
        <w:jc w:val="both"/>
        <w:rPr>
          <w:rFonts w:ascii="Montserrat" w:eastAsia="Times New Roman" w:hAnsi="Montserrat" w:cs="Times New Roman"/>
          <w:lang w:eastAsia="fr-FR"/>
        </w:rPr>
      </w:pPr>
      <w:r w:rsidRPr="00047E08">
        <w:rPr>
          <w:rFonts w:ascii="Montserrat" w:eastAsia="Times New Roman" w:hAnsi="Montserrat" w:cs="Times New Roman"/>
          <w:lang w:eastAsia="fr-FR"/>
        </w:rPr>
        <w:t>Une meilleure compréhension des perceptions locales permet d’adapter les politiques et actions aux réalités du terrain, en donnant la parole aux acteurs centrafricains pour valoriser leur expertise et leur rôle dans la construction du pays, et en analysant ces perceptions pour contribuer à l’élaboration de solutions innovantes et durables pour la paix et le développement.</w:t>
      </w:r>
    </w:p>
    <w:p w14:paraId="35053255" w14:textId="77777777" w:rsidR="00047E08" w:rsidRPr="00047E08" w:rsidRDefault="00047E08" w:rsidP="00047E08">
      <w:pPr>
        <w:spacing w:after="0" w:line="240" w:lineRule="auto"/>
        <w:rPr>
          <w:rFonts w:ascii="Montserrat" w:eastAsia="Times New Roman" w:hAnsi="Montserrat" w:cs="Times New Roman"/>
          <w:lang w:eastAsia="fr-FR"/>
        </w:rPr>
      </w:pPr>
    </w:p>
    <w:p w14:paraId="1E9DA00A" w14:textId="141C5D50" w:rsidR="00047E08" w:rsidRPr="00047E08" w:rsidRDefault="00047E08" w:rsidP="00047E08">
      <w:pPr>
        <w:keepNext/>
        <w:keepLines/>
        <w:pBdr>
          <w:bottom w:val="single" w:sz="4" w:space="2" w:color="ED7D31"/>
        </w:pBdr>
        <w:spacing w:before="360" w:after="120" w:line="240" w:lineRule="auto"/>
        <w:outlineLvl w:val="0"/>
        <w:rPr>
          <w:rFonts w:ascii="Montserrat" w:eastAsia="Calibri" w:hAnsi="Montserrat" w:cs="Times New Roman"/>
          <w:b/>
          <w:bCs/>
          <w:color w:val="262626"/>
          <w:sz w:val="40"/>
          <w:szCs w:val="40"/>
        </w:rPr>
      </w:pPr>
      <w:bookmarkStart w:id="32" w:name="_Hlk187918339"/>
      <w:bookmarkStart w:id="33" w:name="_Toc216678987"/>
      <w:r w:rsidRPr="00047E08">
        <w:rPr>
          <w:rFonts w:ascii="Montserrat" w:eastAsia="Calibri" w:hAnsi="Montserrat" w:cs="Times New Roman"/>
          <w:b/>
          <w:bCs/>
          <w:color w:val="262626"/>
          <w:sz w:val="40"/>
          <w:szCs w:val="40"/>
        </w:rPr>
        <w:t>QUI SOMMES-NOUS ?</w:t>
      </w:r>
      <w:bookmarkEnd w:id="33"/>
      <w:r w:rsidRPr="00047E08">
        <w:rPr>
          <w:rFonts w:ascii="Montserrat" w:eastAsia="Calibri" w:hAnsi="Montserrat" w:cs="Times New Roman"/>
          <w:b/>
          <w:bCs/>
          <w:color w:val="262626"/>
          <w:sz w:val="40"/>
          <w:szCs w:val="40"/>
        </w:rPr>
        <w:t xml:space="preserve"> </w:t>
      </w:r>
    </w:p>
    <w:p w14:paraId="20115F19" w14:textId="1F3492F1" w:rsidR="00047E08" w:rsidRPr="00047E08" w:rsidRDefault="00047E08" w:rsidP="00047E08">
      <w:pPr>
        <w:spacing w:after="0" w:line="259" w:lineRule="auto"/>
        <w:jc w:val="both"/>
        <w:rPr>
          <w:rFonts w:ascii="Montserrat" w:eastAsia="Calibri" w:hAnsi="Montserrat" w:cs="Times New Roman"/>
          <w:b/>
          <w:bCs/>
          <w:color w:val="1F3864"/>
          <w:sz w:val="20"/>
          <w:szCs w:val="20"/>
          <w:lang w:eastAsia="fr-FR"/>
        </w:rPr>
      </w:pPr>
      <w:bookmarkStart w:id="34" w:name="_Hlk187929049"/>
      <w:r w:rsidRPr="00047E08">
        <w:rPr>
          <w:rFonts w:ascii="Calibri Light" w:eastAsia="Calibri" w:hAnsi="Calibri Light" w:cs="Times New Roman"/>
          <w:b/>
          <w:bCs/>
          <w:noProof/>
          <w:color w:val="1F3864"/>
          <w:sz w:val="40"/>
          <w:szCs w:val="40"/>
          <w:lang w:val="en-US"/>
        </w:rPr>
        <w:drawing>
          <wp:anchor distT="0" distB="0" distL="114300" distR="114300" simplePos="0" relativeHeight="251676672" behindDoc="1" locked="0" layoutInCell="1" allowOverlap="1" wp14:anchorId="50BDEAD1" wp14:editId="7AF71528">
            <wp:simplePos x="0" y="0"/>
            <wp:positionH relativeFrom="margin">
              <wp:posOffset>2035175</wp:posOffset>
            </wp:positionH>
            <wp:positionV relativeFrom="paragraph">
              <wp:posOffset>51435</wp:posOffset>
            </wp:positionV>
            <wp:extent cx="1944370" cy="1076325"/>
            <wp:effectExtent l="0" t="0" r="0" b="0"/>
            <wp:wrapSquare wrapText="bothSides"/>
            <wp:docPr id="100470297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02974" name="Image 10047029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4370" cy="1076325"/>
                    </a:xfrm>
                    <a:prstGeom prst="rect">
                      <a:avLst/>
                    </a:prstGeom>
                  </pic:spPr>
                </pic:pic>
              </a:graphicData>
            </a:graphic>
            <wp14:sizeRelH relativeFrom="page">
              <wp14:pctWidth>0</wp14:pctWidth>
            </wp14:sizeRelH>
            <wp14:sizeRelV relativeFrom="page">
              <wp14:pctHeight>0</wp14:pctHeight>
            </wp14:sizeRelV>
          </wp:anchor>
        </w:drawing>
      </w:r>
    </w:p>
    <w:p w14:paraId="557A1627" w14:textId="77777777" w:rsidR="00047E08" w:rsidRPr="00047E08" w:rsidRDefault="00047E08" w:rsidP="00047E08">
      <w:pPr>
        <w:spacing w:after="0" w:line="259" w:lineRule="auto"/>
        <w:jc w:val="both"/>
        <w:rPr>
          <w:rFonts w:ascii="Montserrat" w:eastAsia="Calibri" w:hAnsi="Montserrat" w:cs="Times New Roman"/>
          <w:b/>
          <w:bCs/>
          <w:color w:val="1F3864"/>
          <w:sz w:val="20"/>
          <w:szCs w:val="20"/>
          <w:lang w:eastAsia="fr-FR"/>
        </w:rPr>
      </w:pPr>
    </w:p>
    <w:p w14:paraId="47B0A85D" w14:textId="77777777" w:rsidR="00047E08" w:rsidRPr="00047E08" w:rsidRDefault="00047E08" w:rsidP="00047E08">
      <w:pPr>
        <w:spacing w:after="0" w:line="259" w:lineRule="auto"/>
        <w:jc w:val="both"/>
        <w:rPr>
          <w:rFonts w:ascii="Montserrat" w:eastAsia="Calibri" w:hAnsi="Montserrat" w:cs="Times New Roman"/>
          <w:b/>
          <w:bCs/>
          <w:color w:val="1F3864"/>
          <w:sz w:val="20"/>
          <w:szCs w:val="20"/>
          <w:lang w:eastAsia="fr-FR"/>
        </w:rPr>
      </w:pPr>
    </w:p>
    <w:p w14:paraId="5F37DB97" w14:textId="77777777" w:rsidR="00047E08" w:rsidRPr="00047E08" w:rsidRDefault="00047E08" w:rsidP="00047E08">
      <w:pPr>
        <w:spacing w:after="0" w:line="259" w:lineRule="auto"/>
        <w:jc w:val="both"/>
        <w:rPr>
          <w:rFonts w:ascii="Montserrat" w:eastAsia="Calibri" w:hAnsi="Montserrat" w:cs="Times New Roman"/>
          <w:b/>
          <w:bCs/>
          <w:color w:val="1F3864"/>
          <w:sz w:val="20"/>
          <w:szCs w:val="20"/>
          <w:lang w:eastAsia="fr-FR"/>
        </w:rPr>
      </w:pPr>
    </w:p>
    <w:p w14:paraId="7CF00798" w14:textId="77777777" w:rsidR="00047E08" w:rsidRPr="00047E08" w:rsidRDefault="00047E08" w:rsidP="00047E08">
      <w:pPr>
        <w:spacing w:after="0" w:line="259" w:lineRule="auto"/>
        <w:jc w:val="both"/>
        <w:rPr>
          <w:rFonts w:ascii="Montserrat" w:eastAsia="Calibri" w:hAnsi="Montserrat" w:cs="Times New Roman"/>
          <w:b/>
          <w:bCs/>
          <w:color w:val="1F3864"/>
          <w:sz w:val="20"/>
          <w:szCs w:val="20"/>
          <w:lang w:eastAsia="fr-FR"/>
        </w:rPr>
      </w:pPr>
    </w:p>
    <w:p w14:paraId="1F6046F6" w14:textId="77777777" w:rsidR="00047E08" w:rsidRPr="00047E08" w:rsidRDefault="00047E08" w:rsidP="00047E08">
      <w:pPr>
        <w:spacing w:after="0" w:line="259" w:lineRule="auto"/>
        <w:jc w:val="both"/>
        <w:rPr>
          <w:rFonts w:ascii="Montserrat" w:eastAsia="Calibri" w:hAnsi="Montserrat" w:cs="Times New Roman"/>
          <w:b/>
          <w:bCs/>
          <w:color w:val="1F3864"/>
          <w:sz w:val="20"/>
          <w:szCs w:val="20"/>
          <w:lang w:eastAsia="fr-FR"/>
        </w:rPr>
      </w:pPr>
    </w:p>
    <w:p w14:paraId="4B8EFED8" w14:textId="77777777" w:rsidR="00047E08" w:rsidRPr="00047E08" w:rsidRDefault="00047E08" w:rsidP="00047E08">
      <w:pPr>
        <w:spacing w:after="0" w:line="259" w:lineRule="auto"/>
        <w:jc w:val="both"/>
        <w:rPr>
          <w:rFonts w:ascii="Montserrat" w:eastAsia="Calibri" w:hAnsi="Montserrat" w:cs="Times New Roman"/>
          <w:b/>
          <w:bCs/>
          <w:color w:val="1F3864"/>
          <w:sz w:val="20"/>
          <w:szCs w:val="20"/>
          <w:lang w:eastAsia="fr-FR"/>
        </w:rPr>
      </w:pPr>
    </w:p>
    <w:p w14:paraId="47D37624" w14:textId="76B56347" w:rsidR="00047E08" w:rsidRPr="00047E08" w:rsidRDefault="00047E08" w:rsidP="00047E08">
      <w:pPr>
        <w:spacing w:after="0" w:line="259" w:lineRule="auto"/>
        <w:jc w:val="both"/>
        <w:rPr>
          <w:rFonts w:ascii="Montserrat" w:eastAsia="Calibri" w:hAnsi="Montserrat" w:cs="Times New Roman"/>
          <w:color w:val="1F3864"/>
          <w:sz w:val="20"/>
          <w:szCs w:val="20"/>
          <w:lang w:eastAsia="fr-FR"/>
        </w:rPr>
      </w:pPr>
      <w:proofErr w:type="spellStart"/>
      <w:r w:rsidRPr="00047E08">
        <w:rPr>
          <w:rFonts w:ascii="Montserrat" w:eastAsia="Calibri" w:hAnsi="Montserrat" w:cs="Times New Roman"/>
          <w:b/>
          <w:bCs/>
          <w:color w:val="1F3864"/>
          <w:sz w:val="20"/>
          <w:szCs w:val="20"/>
          <w:lang w:eastAsia="fr-FR"/>
        </w:rPr>
        <w:t>Peace</w:t>
      </w:r>
      <w:proofErr w:type="spellEnd"/>
      <w:r w:rsidRPr="00047E08">
        <w:rPr>
          <w:rFonts w:ascii="Montserrat" w:eastAsia="Calibri" w:hAnsi="Montserrat" w:cs="Times New Roman"/>
          <w:b/>
          <w:bCs/>
          <w:color w:val="1F3864"/>
          <w:sz w:val="20"/>
          <w:szCs w:val="20"/>
          <w:lang w:eastAsia="fr-FR"/>
        </w:rPr>
        <w:t xml:space="preserve"> and </w:t>
      </w:r>
      <w:proofErr w:type="spellStart"/>
      <w:r w:rsidRPr="00047E08">
        <w:rPr>
          <w:rFonts w:ascii="Montserrat" w:eastAsia="Calibri" w:hAnsi="Montserrat" w:cs="Times New Roman"/>
          <w:b/>
          <w:bCs/>
          <w:color w:val="1F3864"/>
          <w:sz w:val="20"/>
          <w:szCs w:val="20"/>
          <w:lang w:eastAsia="fr-FR"/>
        </w:rPr>
        <w:t>Development</w:t>
      </w:r>
      <w:proofErr w:type="spellEnd"/>
      <w:r w:rsidRPr="00047E08">
        <w:rPr>
          <w:rFonts w:ascii="Montserrat" w:eastAsia="Calibri" w:hAnsi="Montserrat" w:cs="Times New Roman"/>
          <w:b/>
          <w:bCs/>
          <w:color w:val="1F3864"/>
          <w:sz w:val="20"/>
          <w:szCs w:val="20"/>
          <w:lang w:eastAsia="fr-FR"/>
        </w:rPr>
        <w:t xml:space="preserve"> Watch Central </w:t>
      </w:r>
      <w:proofErr w:type="spellStart"/>
      <w:r w:rsidRPr="00047E08">
        <w:rPr>
          <w:rFonts w:ascii="Montserrat" w:eastAsia="Calibri" w:hAnsi="Montserrat" w:cs="Times New Roman"/>
          <w:b/>
          <w:bCs/>
          <w:color w:val="1F3864"/>
          <w:sz w:val="20"/>
          <w:szCs w:val="20"/>
          <w:lang w:eastAsia="fr-FR"/>
        </w:rPr>
        <w:t>African</w:t>
      </w:r>
      <w:proofErr w:type="spellEnd"/>
      <w:r w:rsidRPr="00047E08">
        <w:rPr>
          <w:rFonts w:ascii="Montserrat" w:eastAsia="Calibri" w:hAnsi="Montserrat" w:cs="Times New Roman"/>
          <w:b/>
          <w:bCs/>
          <w:color w:val="1F3864"/>
          <w:sz w:val="20"/>
          <w:szCs w:val="20"/>
          <w:lang w:eastAsia="fr-FR"/>
        </w:rPr>
        <w:t xml:space="preserve"> Republic (PDW)</w:t>
      </w:r>
      <w:r w:rsidRPr="00047E08">
        <w:rPr>
          <w:rFonts w:ascii="Montserrat" w:eastAsia="Calibri" w:hAnsi="Montserrat" w:cs="Times New Roman"/>
          <w:color w:val="1F3864"/>
          <w:sz w:val="20"/>
          <w:szCs w:val="20"/>
          <w:lang w:eastAsia="fr-FR"/>
        </w:rPr>
        <w:t xml:space="preserve"> est un </w:t>
      </w:r>
      <w:r w:rsidRPr="00047E08">
        <w:rPr>
          <w:rFonts w:ascii="Montserrat" w:eastAsia="Calibri" w:hAnsi="Montserrat" w:cs="Times New Roman"/>
          <w:b/>
          <w:bCs/>
          <w:color w:val="1F3864"/>
          <w:sz w:val="20"/>
          <w:szCs w:val="20"/>
          <w:lang w:eastAsia="fr-FR"/>
        </w:rPr>
        <w:t xml:space="preserve">Think </w:t>
      </w:r>
      <w:r>
        <w:rPr>
          <w:rFonts w:ascii="Montserrat" w:eastAsia="Calibri" w:hAnsi="Montserrat" w:cs="Times New Roman"/>
          <w:b/>
          <w:bCs/>
          <w:color w:val="1F3864"/>
          <w:sz w:val="20"/>
          <w:szCs w:val="20"/>
          <w:lang w:eastAsia="fr-FR"/>
        </w:rPr>
        <w:t xml:space="preserve">and do </w:t>
      </w:r>
      <w:r w:rsidRPr="00047E08">
        <w:rPr>
          <w:rFonts w:ascii="Montserrat" w:eastAsia="Calibri" w:hAnsi="Montserrat" w:cs="Times New Roman"/>
          <w:b/>
          <w:bCs/>
          <w:color w:val="1F3864"/>
          <w:sz w:val="20"/>
          <w:szCs w:val="20"/>
          <w:lang w:eastAsia="fr-FR"/>
        </w:rPr>
        <w:t>Tank privé et indépendant</w:t>
      </w:r>
      <w:r w:rsidRPr="00047E08">
        <w:rPr>
          <w:rFonts w:ascii="Montserrat" w:eastAsia="Calibri" w:hAnsi="Montserrat" w:cs="Times New Roman"/>
          <w:color w:val="1F3864"/>
          <w:sz w:val="20"/>
          <w:szCs w:val="20"/>
          <w:lang w:eastAsia="fr-FR"/>
        </w:rPr>
        <w:t>, spécialisé dans l’</w:t>
      </w:r>
      <w:r w:rsidRPr="00047E08">
        <w:rPr>
          <w:rFonts w:ascii="Montserrat" w:eastAsia="Calibri" w:hAnsi="Montserrat" w:cs="Times New Roman"/>
          <w:b/>
          <w:bCs/>
          <w:color w:val="1F3864"/>
          <w:sz w:val="20"/>
          <w:szCs w:val="20"/>
          <w:lang w:eastAsia="fr-FR"/>
        </w:rPr>
        <w:t>analyse prospective</w:t>
      </w:r>
      <w:r w:rsidRPr="00047E08">
        <w:rPr>
          <w:rFonts w:ascii="Montserrat" w:eastAsia="Calibri" w:hAnsi="Montserrat" w:cs="Times New Roman"/>
          <w:color w:val="1F3864"/>
          <w:sz w:val="20"/>
          <w:szCs w:val="20"/>
          <w:lang w:eastAsia="fr-FR"/>
        </w:rPr>
        <w:t>, l’</w:t>
      </w:r>
      <w:r w:rsidRPr="00047E08">
        <w:rPr>
          <w:rFonts w:ascii="Montserrat" w:eastAsia="Calibri" w:hAnsi="Montserrat" w:cs="Times New Roman"/>
          <w:b/>
          <w:bCs/>
          <w:color w:val="1F3864"/>
          <w:sz w:val="20"/>
          <w:szCs w:val="20"/>
          <w:lang w:eastAsia="fr-FR"/>
        </w:rPr>
        <w:t>étude des perceptions</w:t>
      </w:r>
      <w:r w:rsidRPr="00047E08">
        <w:rPr>
          <w:rFonts w:ascii="Montserrat" w:eastAsia="Calibri" w:hAnsi="Montserrat" w:cs="Times New Roman"/>
          <w:color w:val="1F3864"/>
          <w:sz w:val="20"/>
          <w:szCs w:val="20"/>
          <w:lang w:eastAsia="fr-FR"/>
        </w:rPr>
        <w:t xml:space="preserve"> et l’</w:t>
      </w:r>
      <w:r w:rsidRPr="00047E08">
        <w:rPr>
          <w:rFonts w:ascii="Montserrat" w:eastAsia="Calibri" w:hAnsi="Montserrat" w:cs="Times New Roman"/>
          <w:b/>
          <w:bCs/>
          <w:color w:val="1F3864"/>
          <w:sz w:val="20"/>
          <w:szCs w:val="20"/>
          <w:lang w:eastAsia="fr-FR"/>
        </w:rPr>
        <w:t>innovation sociale</w:t>
      </w:r>
      <w:r w:rsidRPr="00047E08">
        <w:rPr>
          <w:rFonts w:ascii="Montserrat" w:eastAsia="Calibri" w:hAnsi="Montserrat" w:cs="Times New Roman"/>
          <w:color w:val="1F3864"/>
          <w:sz w:val="20"/>
          <w:szCs w:val="20"/>
          <w:lang w:eastAsia="fr-FR"/>
        </w:rPr>
        <w:t xml:space="preserve"> pour relever les défis de la paix et du développement en République Centrafricaine.</w:t>
      </w:r>
    </w:p>
    <w:p w14:paraId="16681C78" w14:textId="77777777" w:rsidR="00047E08" w:rsidRPr="00047E08" w:rsidRDefault="00047E08" w:rsidP="00047E08">
      <w:pPr>
        <w:spacing w:after="0" w:line="259" w:lineRule="auto"/>
        <w:jc w:val="both"/>
        <w:rPr>
          <w:rFonts w:ascii="Montserrat" w:eastAsia="Calibri" w:hAnsi="Montserrat" w:cs="Times New Roman"/>
          <w:sz w:val="20"/>
          <w:szCs w:val="20"/>
          <w:lang w:eastAsia="fr-FR"/>
        </w:rPr>
      </w:pPr>
    </w:p>
    <w:p w14:paraId="3318F5D2" w14:textId="77777777" w:rsidR="00047E08" w:rsidRPr="00047E08" w:rsidRDefault="00047E08" w:rsidP="00047E08">
      <w:pPr>
        <w:spacing w:after="0" w:line="259" w:lineRule="auto"/>
        <w:jc w:val="both"/>
        <w:rPr>
          <w:rFonts w:ascii="Montserrat" w:eastAsia="Calibri" w:hAnsi="Montserrat" w:cs="Times New Roman"/>
          <w:b/>
          <w:bCs/>
          <w:color w:val="ED7D31"/>
          <w:lang w:eastAsia="fr-FR"/>
        </w:rPr>
      </w:pPr>
      <w:r w:rsidRPr="00047E08">
        <w:rPr>
          <w:rFonts w:ascii="Montserrat" w:eastAsia="Calibri" w:hAnsi="Montserrat" w:cs="Times New Roman"/>
          <w:b/>
          <w:bCs/>
          <w:color w:val="ED7D31"/>
          <w:lang w:eastAsia="fr-FR"/>
        </w:rPr>
        <w:t>Nos missions</w:t>
      </w:r>
    </w:p>
    <w:p w14:paraId="5F9B450A" w14:textId="77777777" w:rsidR="00047E08" w:rsidRPr="00047E08" w:rsidRDefault="00047E08" w:rsidP="00047E08">
      <w:pPr>
        <w:numPr>
          <w:ilvl w:val="0"/>
          <w:numId w:val="67"/>
        </w:numPr>
        <w:spacing w:after="0" w:line="259" w:lineRule="auto"/>
        <w:jc w:val="both"/>
        <w:rPr>
          <w:rFonts w:ascii="Montserrat" w:eastAsia="Calibri" w:hAnsi="Montserrat" w:cs="Times New Roman"/>
          <w:sz w:val="20"/>
          <w:lang w:eastAsia="fr-FR"/>
        </w:rPr>
      </w:pPr>
      <w:r w:rsidRPr="00047E08">
        <w:rPr>
          <w:rFonts w:ascii="Montserrat" w:eastAsia="Calibri" w:hAnsi="Montserrat" w:cs="Times New Roman"/>
          <w:b/>
          <w:bCs/>
          <w:sz w:val="20"/>
          <w:lang w:eastAsia="fr-FR"/>
        </w:rPr>
        <w:t>Conseiller et accompagner les partenaires</w:t>
      </w:r>
      <w:r w:rsidRPr="00047E08">
        <w:rPr>
          <w:rFonts w:ascii="Montserrat" w:eastAsia="Calibri" w:hAnsi="Montserrat" w:cs="Times New Roman"/>
          <w:sz w:val="20"/>
          <w:lang w:eastAsia="fr-FR"/>
        </w:rPr>
        <w:t xml:space="preserve"> vers des solutions adaptées et durables.</w:t>
      </w:r>
    </w:p>
    <w:p w14:paraId="62B482F9" w14:textId="77777777" w:rsidR="00047E08" w:rsidRPr="00047E08" w:rsidRDefault="00047E08" w:rsidP="00047E08">
      <w:pPr>
        <w:numPr>
          <w:ilvl w:val="0"/>
          <w:numId w:val="67"/>
        </w:numPr>
        <w:spacing w:after="0" w:line="259" w:lineRule="auto"/>
        <w:jc w:val="both"/>
        <w:rPr>
          <w:rFonts w:ascii="Montserrat" w:eastAsia="Calibri" w:hAnsi="Montserrat" w:cs="Times New Roman"/>
          <w:sz w:val="20"/>
          <w:lang w:eastAsia="fr-FR"/>
        </w:rPr>
      </w:pPr>
      <w:r w:rsidRPr="00047E08">
        <w:rPr>
          <w:rFonts w:ascii="Montserrat" w:eastAsia="Calibri" w:hAnsi="Montserrat" w:cs="Times New Roman"/>
          <w:b/>
          <w:bCs/>
          <w:sz w:val="20"/>
          <w:lang w:eastAsia="fr-FR"/>
        </w:rPr>
        <w:t>Porter et valoriser les regards et les voix</w:t>
      </w:r>
      <w:r w:rsidRPr="00047E08">
        <w:rPr>
          <w:rFonts w:ascii="Montserrat" w:eastAsia="Calibri" w:hAnsi="Montserrat" w:cs="Times New Roman"/>
          <w:sz w:val="20"/>
          <w:lang w:eastAsia="fr-FR"/>
        </w:rPr>
        <w:t xml:space="preserve"> des populations centrafricaines sur les grands enjeux nationaux.</w:t>
      </w:r>
    </w:p>
    <w:p w14:paraId="42116B57" w14:textId="77777777" w:rsidR="00047E08" w:rsidRPr="00047E08" w:rsidRDefault="00047E08" w:rsidP="00047E08">
      <w:pPr>
        <w:numPr>
          <w:ilvl w:val="0"/>
          <w:numId w:val="67"/>
        </w:numPr>
        <w:spacing w:after="0" w:line="259" w:lineRule="auto"/>
        <w:jc w:val="both"/>
        <w:rPr>
          <w:rFonts w:ascii="Montserrat" w:eastAsia="Calibri" w:hAnsi="Montserrat" w:cs="Times New Roman"/>
          <w:sz w:val="20"/>
          <w:lang w:eastAsia="fr-FR"/>
        </w:rPr>
      </w:pPr>
      <w:r w:rsidRPr="00047E08">
        <w:rPr>
          <w:rFonts w:ascii="Montserrat" w:eastAsia="Calibri" w:hAnsi="Montserrat" w:cs="Times New Roman"/>
          <w:b/>
          <w:bCs/>
          <w:sz w:val="20"/>
          <w:lang w:eastAsia="fr-FR"/>
        </w:rPr>
        <w:t>Soutenir et vulgariser la recherche centrafricaine</w:t>
      </w:r>
      <w:r w:rsidRPr="00047E08">
        <w:rPr>
          <w:rFonts w:ascii="Montserrat" w:eastAsia="Calibri" w:hAnsi="Montserrat" w:cs="Times New Roman"/>
          <w:sz w:val="20"/>
          <w:lang w:eastAsia="fr-FR"/>
        </w:rPr>
        <w:t>, en valorisant les connaissances locales.</w:t>
      </w:r>
    </w:p>
    <w:p w14:paraId="314FBD20" w14:textId="77777777" w:rsidR="00047E08" w:rsidRPr="00047E08" w:rsidRDefault="00047E08" w:rsidP="00047E08">
      <w:pPr>
        <w:numPr>
          <w:ilvl w:val="0"/>
          <w:numId w:val="67"/>
        </w:numPr>
        <w:spacing w:after="0" w:line="259" w:lineRule="auto"/>
        <w:jc w:val="both"/>
        <w:rPr>
          <w:rFonts w:ascii="Montserrat" w:eastAsia="Calibri" w:hAnsi="Montserrat" w:cs="Times New Roman"/>
          <w:sz w:val="20"/>
          <w:lang w:eastAsia="fr-FR"/>
        </w:rPr>
      </w:pPr>
      <w:r w:rsidRPr="00047E08">
        <w:rPr>
          <w:rFonts w:ascii="Montserrat" w:eastAsia="Calibri" w:hAnsi="Montserrat" w:cs="Times New Roman"/>
          <w:b/>
          <w:bCs/>
          <w:sz w:val="20"/>
          <w:lang w:eastAsia="fr-FR"/>
        </w:rPr>
        <w:t>Encourager l’innovation et la créativité</w:t>
      </w:r>
      <w:r w:rsidRPr="00047E08">
        <w:rPr>
          <w:rFonts w:ascii="Montserrat" w:eastAsia="Calibri" w:hAnsi="Montserrat" w:cs="Times New Roman"/>
          <w:sz w:val="20"/>
          <w:lang w:eastAsia="fr-FR"/>
        </w:rPr>
        <w:t xml:space="preserve"> pour des solutions contextualisées et durables.</w:t>
      </w:r>
    </w:p>
    <w:p w14:paraId="5B174A44" w14:textId="77777777" w:rsidR="00047E08" w:rsidRPr="00047E08" w:rsidRDefault="00047E08" w:rsidP="00047E08">
      <w:pPr>
        <w:numPr>
          <w:ilvl w:val="0"/>
          <w:numId w:val="67"/>
        </w:numPr>
        <w:spacing w:after="0" w:line="259" w:lineRule="auto"/>
        <w:jc w:val="both"/>
        <w:rPr>
          <w:rFonts w:ascii="Montserrat" w:eastAsia="Calibri" w:hAnsi="Montserrat" w:cs="Times New Roman"/>
          <w:sz w:val="20"/>
          <w:lang w:eastAsia="fr-FR"/>
        </w:rPr>
      </w:pPr>
      <w:r w:rsidRPr="00047E08">
        <w:rPr>
          <w:rFonts w:ascii="Montserrat" w:eastAsia="Calibri" w:hAnsi="Montserrat" w:cs="Times New Roman"/>
          <w:b/>
          <w:bCs/>
          <w:sz w:val="20"/>
          <w:lang w:eastAsia="fr-FR"/>
        </w:rPr>
        <w:t>Assurer le suivi et l’évaluation des projets</w:t>
      </w:r>
      <w:r w:rsidRPr="00047E08">
        <w:rPr>
          <w:rFonts w:ascii="Montserrat" w:eastAsia="Calibri" w:hAnsi="Montserrat" w:cs="Times New Roman"/>
          <w:sz w:val="20"/>
          <w:lang w:eastAsia="fr-FR"/>
        </w:rPr>
        <w:t>, à travers des méthodologies rigoureuses :</w:t>
      </w:r>
    </w:p>
    <w:p w14:paraId="27890425" w14:textId="77777777" w:rsidR="00047E08" w:rsidRPr="00047E08" w:rsidRDefault="00047E08" w:rsidP="00047E08">
      <w:pPr>
        <w:numPr>
          <w:ilvl w:val="1"/>
          <w:numId w:val="67"/>
        </w:numPr>
        <w:spacing w:after="0" w:line="259" w:lineRule="auto"/>
        <w:jc w:val="both"/>
        <w:rPr>
          <w:rFonts w:ascii="Montserrat" w:eastAsia="Calibri" w:hAnsi="Montserrat" w:cs="Times New Roman"/>
          <w:sz w:val="20"/>
          <w:lang w:eastAsia="fr-FR"/>
        </w:rPr>
      </w:pPr>
      <w:r w:rsidRPr="00047E08">
        <w:rPr>
          <w:rFonts w:ascii="Montserrat" w:eastAsia="Calibri" w:hAnsi="Montserrat" w:cs="Times New Roman"/>
          <w:b/>
          <w:bCs/>
          <w:sz w:val="20"/>
          <w:lang w:eastAsia="fr-FR"/>
        </w:rPr>
        <w:t>Suivi-évaluation participatif</w:t>
      </w:r>
      <w:r w:rsidRPr="00047E08">
        <w:rPr>
          <w:rFonts w:ascii="Montserrat" w:eastAsia="Calibri" w:hAnsi="Montserrat" w:cs="Times New Roman"/>
          <w:sz w:val="20"/>
          <w:lang w:eastAsia="fr-FR"/>
        </w:rPr>
        <w:t xml:space="preserve"> pour impliquer les acteurs locaux,</w:t>
      </w:r>
    </w:p>
    <w:p w14:paraId="4E70D96E" w14:textId="77777777" w:rsidR="00047E08" w:rsidRPr="00047E08" w:rsidRDefault="00047E08" w:rsidP="00047E08">
      <w:pPr>
        <w:numPr>
          <w:ilvl w:val="1"/>
          <w:numId w:val="67"/>
        </w:numPr>
        <w:spacing w:after="0" w:line="259" w:lineRule="auto"/>
        <w:jc w:val="both"/>
        <w:rPr>
          <w:rFonts w:ascii="Montserrat" w:eastAsia="Calibri" w:hAnsi="Montserrat" w:cs="Times New Roman"/>
          <w:sz w:val="20"/>
          <w:lang w:eastAsia="fr-FR"/>
        </w:rPr>
      </w:pPr>
      <w:r w:rsidRPr="00047E08">
        <w:rPr>
          <w:rFonts w:ascii="Montserrat" w:eastAsia="Calibri" w:hAnsi="Montserrat" w:cs="Times New Roman"/>
          <w:b/>
          <w:bCs/>
          <w:sz w:val="20"/>
          <w:lang w:eastAsia="fr-FR"/>
        </w:rPr>
        <w:t>Appui méthodologique</w:t>
      </w:r>
      <w:r w:rsidRPr="00047E08">
        <w:rPr>
          <w:rFonts w:ascii="Montserrat" w:eastAsia="Calibri" w:hAnsi="Montserrat" w:cs="Times New Roman"/>
          <w:sz w:val="20"/>
          <w:lang w:eastAsia="fr-FR"/>
        </w:rPr>
        <w:t xml:space="preserve"> pour renforcer les capacités des porteurs de projets.</w:t>
      </w:r>
    </w:p>
    <w:p w14:paraId="5A523091" w14:textId="77777777" w:rsidR="00047E08" w:rsidRPr="00047E08" w:rsidRDefault="00047E08" w:rsidP="00047E08">
      <w:pPr>
        <w:spacing w:after="0" w:line="259" w:lineRule="auto"/>
        <w:jc w:val="both"/>
        <w:rPr>
          <w:rFonts w:ascii="Montserrat" w:eastAsia="Calibri" w:hAnsi="Montserrat" w:cs="Times New Roman"/>
          <w:b/>
          <w:bCs/>
          <w:szCs w:val="24"/>
          <w:lang w:eastAsia="fr-FR"/>
        </w:rPr>
      </w:pPr>
    </w:p>
    <w:p w14:paraId="16698FD0" w14:textId="75A25FC9" w:rsidR="00047E08" w:rsidRPr="00047E08" w:rsidRDefault="00047E08" w:rsidP="00047E08">
      <w:pPr>
        <w:spacing w:after="0" w:line="259" w:lineRule="auto"/>
        <w:jc w:val="both"/>
        <w:rPr>
          <w:rFonts w:ascii="Montserrat" w:eastAsia="Calibri" w:hAnsi="Montserrat" w:cs="Times New Roman"/>
          <w:sz w:val="20"/>
          <w:lang w:eastAsia="fr-FR"/>
        </w:rPr>
      </w:pPr>
      <w:r w:rsidRPr="00047E08">
        <w:rPr>
          <w:rFonts w:ascii="Montserrat" w:eastAsia="Calibri" w:hAnsi="Montserrat" w:cs="Times New Roman"/>
          <w:sz w:val="20"/>
          <w:lang w:eastAsia="fr-FR"/>
        </w:rPr>
        <w:t xml:space="preserve">Grâce à des </w:t>
      </w:r>
      <w:r w:rsidRPr="00047E08">
        <w:rPr>
          <w:rFonts w:ascii="Montserrat" w:eastAsia="Calibri" w:hAnsi="Montserrat" w:cs="Times New Roman"/>
          <w:b/>
          <w:bCs/>
          <w:sz w:val="20"/>
          <w:lang w:eastAsia="fr-FR"/>
        </w:rPr>
        <w:t>recherches stratégiques</w:t>
      </w:r>
      <w:r w:rsidRPr="00047E08">
        <w:rPr>
          <w:rFonts w:ascii="Montserrat" w:eastAsia="Calibri" w:hAnsi="Montserrat" w:cs="Times New Roman"/>
          <w:sz w:val="20"/>
          <w:lang w:eastAsia="fr-FR"/>
        </w:rPr>
        <w:t xml:space="preserve">, des </w:t>
      </w:r>
      <w:r w:rsidRPr="00047E08">
        <w:rPr>
          <w:rFonts w:ascii="Montserrat" w:eastAsia="Calibri" w:hAnsi="Montserrat" w:cs="Times New Roman"/>
          <w:b/>
          <w:bCs/>
          <w:sz w:val="20"/>
          <w:lang w:eastAsia="fr-FR"/>
        </w:rPr>
        <w:t>enquêtes de terrain</w:t>
      </w:r>
      <w:r w:rsidRPr="00047E08">
        <w:rPr>
          <w:rFonts w:ascii="Montserrat" w:eastAsia="Calibri" w:hAnsi="Montserrat" w:cs="Times New Roman"/>
          <w:sz w:val="20"/>
          <w:lang w:eastAsia="fr-FR"/>
        </w:rPr>
        <w:t xml:space="preserve"> et des </w:t>
      </w:r>
      <w:r w:rsidRPr="00047E08">
        <w:rPr>
          <w:rFonts w:ascii="Montserrat" w:eastAsia="Calibri" w:hAnsi="Montserrat" w:cs="Times New Roman"/>
          <w:b/>
          <w:bCs/>
          <w:sz w:val="20"/>
          <w:lang w:eastAsia="fr-FR"/>
        </w:rPr>
        <w:t>solutions innovantes</w:t>
      </w:r>
      <w:r w:rsidRPr="00047E08">
        <w:rPr>
          <w:rFonts w:ascii="Montserrat" w:eastAsia="Calibri" w:hAnsi="Montserrat" w:cs="Times New Roman"/>
          <w:sz w:val="20"/>
          <w:lang w:eastAsia="fr-FR"/>
        </w:rPr>
        <w:t xml:space="preserve">, PDW éclaire les décideurs publics et privés, </w:t>
      </w:r>
      <w:r w:rsidRPr="00047E08">
        <w:rPr>
          <w:rFonts w:ascii="Montserrat" w:eastAsia="Calibri" w:hAnsi="Montserrat" w:cs="Times New Roman"/>
          <w:b/>
          <w:bCs/>
          <w:sz w:val="20"/>
          <w:lang w:eastAsia="fr-FR"/>
        </w:rPr>
        <w:t>mesure l’impact des initiatives</w:t>
      </w:r>
      <w:r w:rsidRPr="00047E08">
        <w:rPr>
          <w:rFonts w:ascii="Montserrat" w:eastAsia="Calibri" w:hAnsi="Montserrat" w:cs="Times New Roman"/>
          <w:sz w:val="20"/>
          <w:lang w:eastAsia="fr-FR"/>
        </w:rPr>
        <w:t xml:space="preserve"> et propose des recommandations concrètes pour une transformation durable du pay</w:t>
      </w:r>
      <w:bookmarkEnd w:id="32"/>
      <w:bookmarkEnd w:id="34"/>
      <w:r>
        <w:rPr>
          <w:rFonts w:ascii="Montserrat" w:eastAsia="Calibri" w:hAnsi="Montserrat" w:cs="Times New Roman"/>
          <w:sz w:val="20"/>
          <w:lang w:eastAsia="fr-FR"/>
        </w:rPr>
        <w:t>s.</w:t>
      </w:r>
    </w:p>
    <w:p w14:paraId="6ABED063" w14:textId="77777777" w:rsidR="00047E08" w:rsidRPr="00047E08" w:rsidRDefault="00047E08" w:rsidP="00047E08">
      <w:pPr>
        <w:spacing w:after="0" w:line="240" w:lineRule="auto"/>
        <w:rPr>
          <w:rFonts w:ascii="Montserrat" w:eastAsia="Calibri" w:hAnsi="Montserrat" w:cs="Times New Roman"/>
          <w:kern w:val="2"/>
          <w:sz w:val="20"/>
          <w:szCs w:val="20"/>
          <w14:ligatures w14:val="standardContextual"/>
        </w:rPr>
      </w:pPr>
    </w:p>
    <w:p w14:paraId="354D5E27" w14:textId="77777777" w:rsidR="00047E08" w:rsidRPr="00047E08" w:rsidRDefault="00047E08" w:rsidP="00047E08">
      <w:pPr>
        <w:spacing w:after="0" w:line="240" w:lineRule="auto"/>
        <w:rPr>
          <w:rFonts w:ascii="Montserrat" w:eastAsia="Calibri" w:hAnsi="Montserrat" w:cs="Times New Roman"/>
          <w:kern w:val="2"/>
          <w:sz w:val="20"/>
          <w:szCs w:val="20"/>
          <w14:ligatures w14:val="standardContextual"/>
        </w:rPr>
      </w:pPr>
    </w:p>
    <w:p w14:paraId="7421BF21" w14:textId="77777777" w:rsidR="00047E08" w:rsidRPr="00047E08" w:rsidRDefault="00047E08" w:rsidP="00047E08">
      <w:pPr>
        <w:spacing w:after="0" w:line="240" w:lineRule="auto"/>
        <w:rPr>
          <w:rFonts w:ascii="Montserrat" w:eastAsia="Calibri" w:hAnsi="Montserrat" w:cs="Times New Roman"/>
          <w:kern w:val="2"/>
          <w:sz w:val="20"/>
          <w:szCs w:val="20"/>
          <w14:ligatures w14:val="standardContextual"/>
        </w:rPr>
      </w:pPr>
    </w:p>
    <w:p w14:paraId="06A24466" w14:textId="77777777" w:rsidR="00047E08" w:rsidRPr="00047E08" w:rsidRDefault="00047E08" w:rsidP="00047E08">
      <w:pPr>
        <w:spacing w:after="0" w:line="240" w:lineRule="auto"/>
        <w:rPr>
          <w:rFonts w:ascii="Montserrat" w:eastAsia="Calibri" w:hAnsi="Montserrat" w:cs="Times New Roman"/>
          <w:kern w:val="2"/>
          <w:sz w:val="20"/>
          <w:szCs w:val="20"/>
          <w14:ligatures w14:val="standardContextual"/>
        </w:rPr>
      </w:pPr>
    </w:p>
    <w:p w14:paraId="1A26A84B" w14:textId="77777777" w:rsidR="00047E08" w:rsidRPr="00047E08" w:rsidRDefault="00047E08" w:rsidP="00047E08">
      <w:pPr>
        <w:spacing w:after="0" w:line="240" w:lineRule="auto"/>
        <w:rPr>
          <w:rFonts w:ascii="Montserrat" w:eastAsia="Calibri" w:hAnsi="Montserrat" w:cs="Times New Roman"/>
          <w:kern w:val="2"/>
          <w:sz w:val="20"/>
          <w:szCs w:val="20"/>
          <w14:ligatures w14:val="standardContextual"/>
        </w:rPr>
      </w:pPr>
    </w:p>
    <w:p w14:paraId="5812FCCD" w14:textId="77777777" w:rsidR="00047E08" w:rsidRPr="00047E08" w:rsidRDefault="00047E08" w:rsidP="00047E08">
      <w:pPr>
        <w:spacing w:after="0" w:line="240" w:lineRule="auto"/>
        <w:rPr>
          <w:rFonts w:ascii="Montserrat" w:eastAsia="Calibri" w:hAnsi="Montserrat" w:cs="Times New Roman"/>
          <w:kern w:val="2"/>
          <w:sz w:val="20"/>
          <w:szCs w:val="20"/>
          <w14:ligatures w14:val="standardContextual"/>
        </w:rPr>
      </w:pPr>
    </w:p>
    <w:p w14:paraId="6B791DD7" w14:textId="77777777" w:rsidR="00047E08" w:rsidRPr="00047E08" w:rsidRDefault="00047E08" w:rsidP="00047E08">
      <w:pPr>
        <w:keepNext/>
        <w:spacing w:after="0" w:line="240" w:lineRule="auto"/>
        <w:rPr>
          <w:rFonts w:ascii="Times New Roman" w:eastAsia="Times New Roman" w:hAnsi="Times New Roman" w:cs="Times New Roman"/>
          <w:sz w:val="24"/>
          <w:szCs w:val="24"/>
          <w:lang w:eastAsia="fr-FR"/>
        </w:rPr>
      </w:pPr>
      <w:r w:rsidRPr="00047E08">
        <w:rPr>
          <w:rFonts w:ascii="Montserrat" w:eastAsia="Calibri" w:hAnsi="Montserrat" w:cs="Times New Roman"/>
          <w:noProof/>
          <w:kern w:val="2"/>
          <w:sz w:val="20"/>
          <w:szCs w:val="20"/>
        </w:rPr>
        <w:drawing>
          <wp:inline distT="0" distB="0" distL="0" distR="0" wp14:anchorId="3B877214" wp14:editId="56304BA5">
            <wp:extent cx="6645910" cy="4984750"/>
            <wp:effectExtent l="0" t="0" r="2540" b="6350"/>
            <wp:docPr id="2355638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3876" name="Image 235563876"/>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207ABD90" w14:textId="77777777" w:rsidR="00047E08" w:rsidRPr="00047E08" w:rsidRDefault="00047E08" w:rsidP="00047E08">
      <w:pPr>
        <w:spacing w:after="0" w:line="240" w:lineRule="auto"/>
        <w:rPr>
          <w:rFonts w:ascii="Montserrat" w:eastAsia="Calibri" w:hAnsi="Montserrat" w:cs="Times New Roman"/>
          <w:b/>
          <w:bCs/>
          <w:noProof/>
          <w:color w:val="404040"/>
          <w:kern w:val="2"/>
          <w:sz w:val="20"/>
          <w:szCs w:val="20"/>
          <w:lang w:val="en-US"/>
        </w:rPr>
      </w:pPr>
      <w:r w:rsidRPr="00047E08">
        <w:rPr>
          <w:rFonts w:ascii="Times New Roman" w:eastAsia="Times New Roman" w:hAnsi="Times New Roman" w:cs="Times New Roman"/>
          <w:b/>
          <w:bCs/>
          <w:color w:val="404040"/>
          <w:sz w:val="16"/>
          <w:szCs w:val="16"/>
          <w:lang w:val="en-US" w:eastAsia="fr-FR"/>
        </w:rPr>
        <w:t>Copyright - Kessy EKOMO SOIGNET</w:t>
      </w:r>
    </w:p>
    <w:p w14:paraId="1FC70BEA" w14:textId="77777777" w:rsidR="00047E08" w:rsidRPr="00047E08" w:rsidRDefault="00047E08" w:rsidP="00047E08">
      <w:pPr>
        <w:spacing w:after="0" w:line="240" w:lineRule="auto"/>
        <w:rPr>
          <w:rFonts w:ascii="Montserrat" w:eastAsia="Calibri" w:hAnsi="Montserrat" w:cs="Times New Roman"/>
          <w:sz w:val="20"/>
          <w:szCs w:val="20"/>
          <w:lang w:val="en-US"/>
        </w:rPr>
      </w:pPr>
    </w:p>
    <w:p w14:paraId="3220D83D" w14:textId="77777777" w:rsidR="00047E08" w:rsidRPr="00047E08" w:rsidRDefault="00047E08" w:rsidP="00047E08">
      <w:pPr>
        <w:spacing w:after="0" w:line="240" w:lineRule="auto"/>
        <w:rPr>
          <w:rFonts w:ascii="Montserrat" w:eastAsia="Calibri" w:hAnsi="Montserrat" w:cs="Times New Roman"/>
          <w:sz w:val="20"/>
          <w:szCs w:val="20"/>
          <w:lang w:val="en-US"/>
        </w:rPr>
      </w:pPr>
    </w:p>
    <w:p w14:paraId="311479E6" w14:textId="77777777" w:rsidR="00047E08" w:rsidRPr="00047E08" w:rsidRDefault="00047E08" w:rsidP="00047E08">
      <w:pPr>
        <w:spacing w:after="0" w:line="240" w:lineRule="auto"/>
        <w:rPr>
          <w:rFonts w:ascii="Montserrat" w:eastAsia="Calibri" w:hAnsi="Montserrat" w:cs="Times New Roman"/>
          <w:b/>
          <w:bCs/>
          <w:noProof/>
          <w:color w:val="ED7D31"/>
          <w:kern w:val="2"/>
          <w:lang w:val="en-US"/>
        </w:rPr>
      </w:pPr>
      <w:r w:rsidRPr="00047E08">
        <w:rPr>
          <w:rFonts w:ascii="Montserrat" w:eastAsia="Calibri" w:hAnsi="Montserrat" w:cs="Times New Roman"/>
          <w:b/>
          <w:bCs/>
          <w:noProof/>
          <w:color w:val="ED7D31"/>
          <w:kern w:val="2"/>
          <w:lang w:val="en-US"/>
        </w:rPr>
        <w:t xml:space="preserve">Peace and Development Watch – Central African Republic </w:t>
      </w:r>
    </w:p>
    <w:p w14:paraId="799528F2" w14:textId="77777777" w:rsidR="00047E08" w:rsidRPr="00047E08" w:rsidRDefault="00047E08" w:rsidP="00047E08">
      <w:pPr>
        <w:spacing w:after="0" w:line="240" w:lineRule="auto"/>
        <w:rPr>
          <w:rFonts w:ascii="Montserrat" w:eastAsia="Calibri" w:hAnsi="Montserrat" w:cs="Times New Roman"/>
          <w:noProof/>
          <w:kern w:val="2"/>
          <w:lang w:val="en-US"/>
        </w:rPr>
      </w:pPr>
    </w:p>
    <w:p w14:paraId="6A50B530" w14:textId="77777777" w:rsidR="00047E08" w:rsidRPr="00047E08" w:rsidRDefault="00047E08" w:rsidP="00047E08">
      <w:pPr>
        <w:spacing w:after="0" w:line="240" w:lineRule="auto"/>
        <w:rPr>
          <w:rFonts w:ascii="Montserrat" w:eastAsia="Calibri" w:hAnsi="Montserrat" w:cs="Times New Roman"/>
          <w:kern w:val="2"/>
          <w14:ligatures w14:val="standardContextual"/>
        </w:rPr>
      </w:pPr>
      <w:r w:rsidRPr="00047E08">
        <w:rPr>
          <w:rFonts w:ascii="Montserrat" w:eastAsia="Calibri" w:hAnsi="Montserrat" w:cs="Times New Roman"/>
          <w:b/>
          <w:bCs/>
          <w:kern w:val="2"/>
          <w14:ligatures w14:val="standardContextual"/>
        </w:rPr>
        <w:t xml:space="preserve">Adresse </w:t>
      </w:r>
      <w:r w:rsidRPr="00047E08">
        <w:rPr>
          <w:rFonts w:ascii="Montserrat" w:eastAsia="Calibri" w:hAnsi="Montserrat" w:cs="Times New Roman"/>
          <w:kern w:val="2"/>
          <w14:ligatures w14:val="standardContextual"/>
        </w:rPr>
        <w:t>: Immeuble SICBA/BRASSERIE</w:t>
      </w:r>
    </w:p>
    <w:p w14:paraId="3543D438" w14:textId="77777777" w:rsidR="00047E08" w:rsidRPr="00047E08" w:rsidRDefault="00047E08" w:rsidP="00047E08">
      <w:pPr>
        <w:spacing w:after="0" w:line="240" w:lineRule="auto"/>
        <w:rPr>
          <w:rFonts w:ascii="Montserrat" w:eastAsia="Calibri" w:hAnsi="Montserrat" w:cs="Times New Roman"/>
          <w:kern w:val="2"/>
          <w14:ligatures w14:val="standardContextual"/>
        </w:rPr>
      </w:pPr>
      <w:r w:rsidRPr="00047E08">
        <w:rPr>
          <w:rFonts w:ascii="Montserrat" w:eastAsia="Calibri" w:hAnsi="Montserrat" w:cs="Times New Roman"/>
          <w:kern w:val="2"/>
          <w14:ligatures w14:val="standardContextual"/>
        </w:rPr>
        <w:t>Avenue Valery Giscard D’Estaing, Bangui, République Centrafricaine, 2</w:t>
      </w:r>
      <w:r w:rsidRPr="00047E08">
        <w:rPr>
          <w:rFonts w:ascii="Montserrat" w:eastAsia="Calibri" w:hAnsi="Montserrat" w:cs="Times New Roman"/>
          <w:kern w:val="2"/>
          <w:vertAlign w:val="superscript"/>
          <w14:ligatures w14:val="standardContextual"/>
        </w:rPr>
        <w:t>eme</w:t>
      </w:r>
      <w:r w:rsidRPr="00047E08">
        <w:rPr>
          <w:rFonts w:ascii="Montserrat" w:eastAsia="Calibri" w:hAnsi="Montserrat" w:cs="Times New Roman"/>
          <w:kern w:val="2"/>
          <w14:ligatures w14:val="standardContextual"/>
        </w:rPr>
        <w:t xml:space="preserve"> Etage</w:t>
      </w:r>
    </w:p>
    <w:p w14:paraId="063143C3" w14:textId="77777777" w:rsidR="00047E08" w:rsidRPr="00047E08" w:rsidRDefault="00047E08" w:rsidP="00047E08">
      <w:pPr>
        <w:spacing w:after="0" w:line="240" w:lineRule="auto"/>
        <w:rPr>
          <w:rFonts w:ascii="Montserrat" w:eastAsia="Calibri" w:hAnsi="Montserrat" w:cs="Times New Roman"/>
          <w:kern w:val="2"/>
          <w14:ligatures w14:val="standardContextual"/>
        </w:rPr>
      </w:pPr>
      <w:r w:rsidRPr="00047E08">
        <w:rPr>
          <w:rFonts w:ascii="Montserrat" w:eastAsia="Calibri" w:hAnsi="Montserrat" w:cs="Times New Roman"/>
          <w:b/>
          <w:bCs/>
          <w:kern w:val="2"/>
          <w14:ligatures w14:val="standardContextual"/>
        </w:rPr>
        <w:t>Tel</w:t>
      </w:r>
      <w:r w:rsidRPr="00047E08">
        <w:rPr>
          <w:rFonts w:ascii="Montserrat" w:eastAsia="Calibri" w:hAnsi="Montserrat" w:cs="Times New Roman"/>
          <w:kern w:val="2"/>
          <w14:ligatures w14:val="standardContextual"/>
        </w:rPr>
        <w:t xml:space="preserve"> : 75.57.78.03/ 72.99.45.06        </w:t>
      </w:r>
    </w:p>
    <w:p w14:paraId="2B013408" w14:textId="77777777" w:rsidR="00047E08" w:rsidRPr="00047E08" w:rsidRDefault="00047E08" w:rsidP="00047E08">
      <w:pPr>
        <w:spacing w:after="0" w:line="240" w:lineRule="auto"/>
        <w:rPr>
          <w:rFonts w:ascii="Montserrat" w:eastAsia="Calibri" w:hAnsi="Montserrat" w:cs="Times New Roman"/>
          <w:kern w:val="2"/>
          <w14:ligatures w14:val="standardContextual"/>
        </w:rPr>
      </w:pPr>
      <w:r w:rsidRPr="00047E08">
        <w:rPr>
          <w:rFonts w:ascii="Montserrat" w:eastAsia="Calibri" w:hAnsi="Montserrat" w:cs="Times New Roman"/>
          <w:b/>
          <w:bCs/>
          <w:kern w:val="2"/>
          <w14:ligatures w14:val="standardContextual"/>
        </w:rPr>
        <w:t>Email</w:t>
      </w:r>
      <w:r w:rsidRPr="00047E08">
        <w:rPr>
          <w:rFonts w:ascii="Montserrat" w:eastAsia="Calibri" w:hAnsi="Montserrat" w:cs="Times New Roman"/>
          <w:kern w:val="2"/>
          <w14:ligatures w14:val="standardContextual"/>
        </w:rPr>
        <w:t xml:space="preserve"> : </w:t>
      </w:r>
      <w:hyperlink r:id="rId17" w:history="1">
        <w:r w:rsidRPr="00047E08">
          <w:rPr>
            <w:rFonts w:ascii="Montserrat" w:eastAsia="Calibri" w:hAnsi="Montserrat" w:cs="Times New Roman"/>
            <w:color w:val="0563C1"/>
            <w:kern w:val="2"/>
            <w:u w:val="single"/>
            <w14:ligatures w14:val="standardContextual"/>
          </w:rPr>
          <w:t>contact@pdwcar.com</w:t>
        </w:r>
      </w:hyperlink>
      <w:r w:rsidRPr="00047E08">
        <w:rPr>
          <w:rFonts w:ascii="Montserrat" w:eastAsia="Calibri" w:hAnsi="Montserrat" w:cs="Times New Roman"/>
          <w:kern w:val="2"/>
          <w14:ligatures w14:val="standardContextual"/>
        </w:rPr>
        <w:t xml:space="preserve">     </w:t>
      </w:r>
    </w:p>
    <w:p w14:paraId="6835E67A" w14:textId="77777777" w:rsidR="00047E08" w:rsidRPr="00047E08" w:rsidRDefault="00047E08" w:rsidP="00047E08">
      <w:pPr>
        <w:spacing w:after="0" w:line="240" w:lineRule="auto"/>
        <w:rPr>
          <w:rFonts w:ascii="Montserrat" w:eastAsia="Calibri" w:hAnsi="Montserrat" w:cs="Times New Roman"/>
          <w:kern w:val="2"/>
          <w14:ligatures w14:val="standardContextual"/>
        </w:rPr>
      </w:pPr>
      <w:r w:rsidRPr="00047E08">
        <w:rPr>
          <w:rFonts w:ascii="Montserrat" w:eastAsia="Calibri" w:hAnsi="Montserrat" w:cs="Times New Roman"/>
          <w:b/>
          <w:bCs/>
          <w:kern w:val="2"/>
          <w14:ligatures w14:val="standardContextual"/>
        </w:rPr>
        <w:t>Site internet</w:t>
      </w:r>
      <w:r w:rsidRPr="00047E08">
        <w:rPr>
          <w:rFonts w:ascii="Montserrat" w:eastAsia="Calibri" w:hAnsi="Montserrat" w:cs="Times New Roman"/>
          <w:kern w:val="2"/>
          <w14:ligatures w14:val="standardContextual"/>
        </w:rPr>
        <w:t xml:space="preserve"> : </w:t>
      </w:r>
      <w:hyperlink r:id="rId18" w:history="1">
        <w:r w:rsidRPr="00047E08">
          <w:rPr>
            <w:rFonts w:ascii="Montserrat" w:eastAsia="Calibri" w:hAnsi="Montserrat" w:cs="Times New Roman"/>
            <w:color w:val="0563C1"/>
            <w:kern w:val="2"/>
            <w:u w:val="single"/>
            <w14:ligatures w14:val="standardContextual"/>
          </w:rPr>
          <w:t>www.pdwcar.com</w:t>
        </w:r>
      </w:hyperlink>
    </w:p>
    <w:p w14:paraId="76D7D2C6" w14:textId="77777777" w:rsidR="00047E08" w:rsidRPr="00047E08" w:rsidRDefault="00047E08" w:rsidP="00047E08">
      <w:pPr>
        <w:spacing w:after="0" w:line="240" w:lineRule="auto"/>
        <w:jc w:val="center"/>
        <w:rPr>
          <w:rFonts w:ascii="Montserrat" w:eastAsia="Calibri" w:hAnsi="Montserrat" w:cs="Times New Roman"/>
          <w:sz w:val="20"/>
          <w:szCs w:val="20"/>
        </w:rPr>
      </w:pPr>
    </w:p>
    <w:p w14:paraId="11EA30CE" w14:textId="77777777" w:rsidR="00047E08" w:rsidRPr="00D55A41" w:rsidRDefault="00047E08" w:rsidP="00D55A41">
      <w:pPr>
        <w:spacing w:after="210" w:line="300" w:lineRule="auto"/>
        <w:jc w:val="both"/>
        <w:rPr>
          <w:rFonts w:eastAsia="Georgia" w:cs="Georgia"/>
        </w:rPr>
      </w:pPr>
    </w:p>
    <w:p w14:paraId="241BC9A5" w14:textId="77777777" w:rsidR="00D55A41" w:rsidRDefault="00D55A41" w:rsidP="003C3977">
      <w:pPr>
        <w:spacing w:after="210"/>
        <w:jc w:val="both"/>
        <w:rPr>
          <w:rFonts w:eastAsia="Georgia" w:cs="Georgia"/>
        </w:rPr>
      </w:pPr>
    </w:p>
    <w:sectPr w:rsidR="00D55A41" w:rsidSect="003C3977">
      <w:footerReference w:type="default" r:id="rId19"/>
      <w:pgSz w:w="12240" w:h="15840"/>
      <w:pgMar w:top="720" w:right="720" w:bottom="720" w:left="720" w:header="720" w:footer="72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13412" w14:textId="77777777" w:rsidR="00DC4B07" w:rsidRDefault="00DC4B07" w:rsidP="003C3977">
      <w:pPr>
        <w:spacing w:after="0" w:line="240" w:lineRule="auto"/>
      </w:pPr>
      <w:r>
        <w:separator/>
      </w:r>
    </w:p>
  </w:endnote>
  <w:endnote w:type="continuationSeparator" w:id="0">
    <w:p w14:paraId="1D983335" w14:textId="77777777" w:rsidR="00DC4B07" w:rsidRDefault="00DC4B07" w:rsidP="003C3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0275334"/>
      <w:docPartObj>
        <w:docPartGallery w:val="Page Numbers (Bottom of Page)"/>
        <w:docPartUnique/>
      </w:docPartObj>
    </w:sdtPr>
    <w:sdtContent>
      <w:p w14:paraId="19A5E3B3" w14:textId="36BDE034" w:rsidR="003C3977" w:rsidRDefault="003C3977">
        <w:pPr>
          <w:pStyle w:val="Pieddepage"/>
          <w:jc w:val="right"/>
        </w:pPr>
        <w:r>
          <w:fldChar w:fldCharType="begin"/>
        </w:r>
        <w:r>
          <w:instrText>PAGE   \* MERGEFORMAT</w:instrText>
        </w:r>
        <w:r>
          <w:fldChar w:fldCharType="separate"/>
        </w:r>
        <w:r>
          <w:t>2</w:t>
        </w:r>
        <w:r>
          <w:fldChar w:fldCharType="end"/>
        </w:r>
      </w:p>
    </w:sdtContent>
  </w:sdt>
  <w:p w14:paraId="208EDE0D" w14:textId="77777777" w:rsidR="003C3977" w:rsidRDefault="003C39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A89E1" w14:textId="77777777" w:rsidR="00DC4B07" w:rsidRDefault="00DC4B07" w:rsidP="003C3977">
      <w:pPr>
        <w:spacing w:after="0" w:line="240" w:lineRule="auto"/>
      </w:pPr>
      <w:r>
        <w:separator/>
      </w:r>
    </w:p>
  </w:footnote>
  <w:footnote w:type="continuationSeparator" w:id="0">
    <w:p w14:paraId="1A35E00B" w14:textId="77777777" w:rsidR="00DC4B07" w:rsidRDefault="00DC4B07" w:rsidP="003C3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27530"/>
    <w:multiLevelType w:val="hybridMultilevel"/>
    <w:tmpl w:val="22EAC362"/>
    <w:lvl w:ilvl="0" w:tplc="1E68E962">
      <w:start w:val="1"/>
      <w:numFmt w:val="bullet"/>
      <w:lvlText w:val=""/>
      <w:lvlJc w:val="left"/>
      <w:pPr>
        <w:tabs>
          <w:tab w:val="num" w:pos="1080"/>
        </w:tabs>
        <w:ind w:left="720" w:hanging="360"/>
      </w:pPr>
      <w:rPr>
        <w:rFonts w:ascii="Symbol" w:hAnsi="Symbol" w:hint="default"/>
      </w:rPr>
    </w:lvl>
    <w:lvl w:ilvl="1" w:tplc="D2F4851A">
      <w:numFmt w:val="decimal"/>
      <w:lvlText w:val=""/>
      <w:lvlJc w:val="left"/>
    </w:lvl>
    <w:lvl w:ilvl="2" w:tplc="9BD00328">
      <w:numFmt w:val="decimal"/>
      <w:lvlText w:val=""/>
      <w:lvlJc w:val="left"/>
    </w:lvl>
    <w:lvl w:ilvl="3" w:tplc="7A768596">
      <w:numFmt w:val="decimal"/>
      <w:lvlText w:val=""/>
      <w:lvlJc w:val="left"/>
    </w:lvl>
    <w:lvl w:ilvl="4" w:tplc="563CC36C">
      <w:numFmt w:val="decimal"/>
      <w:lvlText w:val=""/>
      <w:lvlJc w:val="left"/>
    </w:lvl>
    <w:lvl w:ilvl="5" w:tplc="7D36DE66">
      <w:numFmt w:val="decimal"/>
      <w:lvlText w:val=""/>
      <w:lvlJc w:val="left"/>
    </w:lvl>
    <w:lvl w:ilvl="6" w:tplc="8946BDFC">
      <w:numFmt w:val="decimal"/>
      <w:lvlText w:val=""/>
      <w:lvlJc w:val="left"/>
    </w:lvl>
    <w:lvl w:ilvl="7" w:tplc="0FA467D8">
      <w:numFmt w:val="decimal"/>
      <w:lvlText w:val=""/>
      <w:lvlJc w:val="left"/>
    </w:lvl>
    <w:lvl w:ilvl="8" w:tplc="1EBA4B4A">
      <w:numFmt w:val="decimal"/>
      <w:lvlText w:val=""/>
      <w:lvlJc w:val="left"/>
    </w:lvl>
  </w:abstractNum>
  <w:abstractNum w:abstractNumId="1" w15:restartNumberingAfterBreak="0">
    <w:nsid w:val="08EE44A2"/>
    <w:multiLevelType w:val="hybridMultilevel"/>
    <w:tmpl w:val="8DA68898"/>
    <w:lvl w:ilvl="0" w:tplc="B8A08AE0">
      <w:start w:val="1"/>
      <w:numFmt w:val="bullet"/>
      <w:lvlText w:val=""/>
      <w:lvlJc w:val="left"/>
      <w:pPr>
        <w:tabs>
          <w:tab w:val="num" w:pos="1080"/>
        </w:tabs>
        <w:ind w:left="720" w:hanging="360"/>
      </w:pPr>
      <w:rPr>
        <w:rFonts w:ascii="Symbol" w:hAnsi="Symbol" w:hint="default"/>
      </w:rPr>
    </w:lvl>
    <w:lvl w:ilvl="1" w:tplc="4A32C5A0">
      <w:numFmt w:val="decimal"/>
      <w:lvlText w:val=""/>
      <w:lvlJc w:val="left"/>
    </w:lvl>
    <w:lvl w:ilvl="2" w:tplc="28D286D8">
      <w:numFmt w:val="decimal"/>
      <w:lvlText w:val=""/>
      <w:lvlJc w:val="left"/>
    </w:lvl>
    <w:lvl w:ilvl="3" w:tplc="B41C2CDA">
      <w:numFmt w:val="decimal"/>
      <w:lvlText w:val=""/>
      <w:lvlJc w:val="left"/>
    </w:lvl>
    <w:lvl w:ilvl="4" w:tplc="111A90EA">
      <w:numFmt w:val="decimal"/>
      <w:lvlText w:val=""/>
      <w:lvlJc w:val="left"/>
    </w:lvl>
    <w:lvl w:ilvl="5" w:tplc="D3528F82">
      <w:numFmt w:val="decimal"/>
      <w:lvlText w:val=""/>
      <w:lvlJc w:val="left"/>
    </w:lvl>
    <w:lvl w:ilvl="6" w:tplc="D54EB744">
      <w:numFmt w:val="decimal"/>
      <w:lvlText w:val=""/>
      <w:lvlJc w:val="left"/>
    </w:lvl>
    <w:lvl w:ilvl="7" w:tplc="3E70DBA0">
      <w:numFmt w:val="decimal"/>
      <w:lvlText w:val=""/>
      <w:lvlJc w:val="left"/>
    </w:lvl>
    <w:lvl w:ilvl="8" w:tplc="3E6AC9DA">
      <w:numFmt w:val="decimal"/>
      <w:lvlText w:val=""/>
      <w:lvlJc w:val="left"/>
    </w:lvl>
  </w:abstractNum>
  <w:abstractNum w:abstractNumId="2" w15:restartNumberingAfterBreak="0">
    <w:nsid w:val="0BFC65CF"/>
    <w:multiLevelType w:val="hybridMultilevel"/>
    <w:tmpl w:val="E0BC25CC"/>
    <w:lvl w:ilvl="0" w:tplc="53EABE8E">
      <w:start w:val="1"/>
      <w:numFmt w:val="decimal"/>
      <w:lvlText w:val="%1."/>
      <w:lvlJc w:val="left"/>
      <w:pPr>
        <w:tabs>
          <w:tab w:val="num" w:pos="1080"/>
        </w:tabs>
        <w:ind w:left="720" w:hanging="360"/>
      </w:pPr>
    </w:lvl>
    <w:lvl w:ilvl="1" w:tplc="EB56DE8E">
      <w:numFmt w:val="decimal"/>
      <w:lvlText w:val=""/>
      <w:lvlJc w:val="left"/>
    </w:lvl>
    <w:lvl w:ilvl="2" w:tplc="862A5B88">
      <w:numFmt w:val="decimal"/>
      <w:lvlText w:val=""/>
      <w:lvlJc w:val="left"/>
    </w:lvl>
    <w:lvl w:ilvl="3" w:tplc="EF4495C0">
      <w:numFmt w:val="decimal"/>
      <w:lvlText w:val=""/>
      <w:lvlJc w:val="left"/>
    </w:lvl>
    <w:lvl w:ilvl="4" w:tplc="67A8EFFE">
      <w:numFmt w:val="decimal"/>
      <w:lvlText w:val=""/>
      <w:lvlJc w:val="left"/>
    </w:lvl>
    <w:lvl w:ilvl="5" w:tplc="9B7A219C">
      <w:numFmt w:val="decimal"/>
      <w:lvlText w:val=""/>
      <w:lvlJc w:val="left"/>
    </w:lvl>
    <w:lvl w:ilvl="6" w:tplc="CAF252A0">
      <w:numFmt w:val="decimal"/>
      <w:lvlText w:val=""/>
      <w:lvlJc w:val="left"/>
    </w:lvl>
    <w:lvl w:ilvl="7" w:tplc="4DE6ED34">
      <w:numFmt w:val="decimal"/>
      <w:lvlText w:val=""/>
      <w:lvlJc w:val="left"/>
    </w:lvl>
    <w:lvl w:ilvl="8" w:tplc="8C5E8C24">
      <w:numFmt w:val="decimal"/>
      <w:lvlText w:val=""/>
      <w:lvlJc w:val="left"/>
    </w:lvl>
  </w:abstractNum>
  <w:abstractNum w:abstractNumId="3" w15:restartNumberingAfterBreak="0">
    <w:nsid w:val="0CEF67BE"/>
    <w:multiLevelType w:val="hybridMultilevel"/>
    <w:tmpl w:val="7EECBBDC"/>
    <w:lvl w:ilvl="0" w:tplc="0504DF0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0DC024C2"/>
    <w:multiLevelType w:val="hybridMultilevel"/>
    <w:tmpl w:val="E2705FC4"/>
    <w:lvl w:ilvl="0" w:tplc="7F0C8618">
      <w:start w:val="1"/>
      <w:numFmt w:val="bullet"/>
      <w:lvlText w:val=""/>
      <w:lvlJc w:val="left"/>
      <w:pPr>
        <w:tabs>
          <w:tab w:val="num" w:pos="1080"/>
        </w:tabs>
        <w:ind w:left="720" w:hanging="360"/>
      </w:pPr>
      <w:rPr>
        <w:rFonts w:ascii="Symbol" w:hAnsi="Symbol" w:hint="default"/>
      </w:rPr>
    </w:lvl>
    <w:lvl w:ilvl="1" w:tplc="E6446A28">
      <w:numFmt w:val="decimal"/>
      <w:lvlText w:val=""/>
      <w:lvlJc w:val="left"/>
    </w:lvl>
    <w:lvl w:ilvl="2" w:tplc="DA3CD9D4">
      <w:numFmt w:val="decimal"/>
      <w:lvlText w:val=""/>
      <w:lvlJc w:val="left"/>
    </w:lvl>
    <w:lvl w:ilvl="3" w:tplc="4E428B6A">
      <w:numFmt w:val="decimal"/>
      <w:lvlText w:val=""/>
      <w:lvlJc w:val="left"/>
    </w:lvl>
    <w:lvl w:ilvl="4" w:tplc="C3EE1FC2">
      <w:numFmt w:val="decimal"/>
      <w:lvlText w:val=""/>
      <w:lvlJc w:val="left"/>
    </w:lvl>
    <w:lvl w:ilvl="5" w:tplc="A45023C0">
      <w:numFmt w:val="decimal"/>
      <w:lvlText w:val=""/>
      <w:lvlJc w:val="left"/>
    </w:lvl>
    <w:lvl w:ilvl="6" w:tplc="D1D46658">
      <w:numFmt w:val="decimal"/>
      <w:lvlText w:val=""/>
      <w:lvlJc w:val="left"/>
    </w:lvl>
    <w:lvl w:ilvl="7" w:tplc="D9DA362C">
      <w:numFmt w:val="decimal"/>
      <w:lvlText w:val=""/>
      <w:lvlJc w:val="left"/>
    </w:lvl>
    <w:lvl w:ilvl="8" w:tplc="867E0D0C">
      <w:numFmt w:val="decimal"/>
      <w:lvlText w:val=""/>
      <w:lvlJc w:val="left"/>
    </w:lvl>
  </w:abstractNum>
  <w:abstractNum w:abstractNumId="5" w15:restartNumberingAfterBreak="0">
    <w:nsid w:val="12C54E32"/>
    <w:multiLevelType w:val="multilevel"/>
    <w:tmpl w:val="51A48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D370D"/>
    <w:multiLevelType w:val="hybridMultilevel"/>
    <w:tmpl w:val="3DF89C8C"/>
    <w:lvl w:ilvl="0" w:tplc="2CFC1DB6">
      <w:start w:val="1"/>
      <w:numFmt w:val="bullet"/>
      <w:lvlText w:val=""/>
      <w:lvlJc w:val="left"/>
      <w:pPr>
        <w:tabs>
          <w:tab w:val="num" w:pos="1080"/>
        </w:tabs>
        <w:ind w:left="720" w:hanging="360"/>
      </w:pPr>
      <w:rPr>
        <w:rFonts w:ascii="Symbol" w:hAnsi="Symbol" w:hint="default"/>
      </w:rPr>
    </w:lvl>
    <w:lvl w:ilvl="1" w:tplc="4F5E3BEA">
      <w:numFmt w:val="decimal"/>
      <w:lvlText w:val=""/>
      <w:lvlJc w:val="left"/>
    </w:lvl>
    <w:lvl w:ilvl="2" w:tplc="124A0B94">
      <w:numFmt w:val="decimal"/>
      <w:lvlText w:val=""/>
      <w:lvlJc w:val="left"/>
    </w:lvl>
    <w:lvl w:ilvl="3" w:tplc="8BFAA1E0">
      <w:numFmt w:val="decimal"/>
      <w:lvlText w:val=""/>
      <w:lvlJc w:val="left"/>
    </w:lvl>
    <w:lvl w:ilvl="4" w:tplc="761CB320">
      <w:numFmt w:val="decimal"/>
      <w:lvlText w:val=""/>
      <w:lvlJc w:val="left"/>
    </w:lvl>
    <w:lvl w:ilvl="5" w:tplc="7EEE12D0">
      <w:numFmt w:val="decimal"/>
      <w:lvlText w:val=""/>
      <w:lvlJc w:val="left"/>
    </w:lvl>
    <w:lvl w:ilvl="6" w:tplc="FE580FEA">
      <w:numFmt w:val="decimal"/>
      <w:lvlText w:val=""/>
      <w:lvlJc w:val="left"/>
    </w:lvl>
    <w:lvl w:ilvl="7" w:tplc="EAF8D8A0">
      <w:numFmt w:val="decimal"/>
      <w:lvlText w:val=""/>
      <w:lvlJc w:val="left"/>
    </w:lvl>
    <w:lvl w:ilvl="8" w:tplc="0DCC9B4A">
      <w:numFmt w:val="decimal"/>
      <w:lvlText w:val=""/>
      <w:lvlJc w:val="left"/>
    </w:lvl>
  </w:abstractNum>
  <w:abstractNum w:abstractNumId="7" w15:restartNumberingAfterBreak="0">
    <w:nsid w:val="16C54334"/>
    <w:multiLevelType w:val="multilevel"/>
    <w:tmpl w:val="CB088B68"/>
    <w:lvl w:ilvl="0">
      <w:start w:val="1"/>
      <w:numFmt w:val="bullet"/>
      <w:lvlText w:val=""/>
      <w:lvlJc w:val="left"/>
      <w:pPr>
        <w:tabs>
          <w:tab w:val="num" w:pos="720"/>
        </w:tabs>
        <w:ind w:left="720" w:hanging="360"/>
      </w:pPr>
      <w:rPr>
        <w:rFonts w:ascii="Symbol" w:hAnsi="Symbol" w:hint="default"/>
        <w:b/>
        <w:bCs w:val="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B0556"/>
    <w:multiLevelType w:val="hybridMultilevel"/>
    <w:tmpl w:val="CEFE7F88"/>
    <w:lvl w:ilvl="0" w:tplc="2CD653D4">
      <w:start w:val="1"/>
      <w:numFmt w:val="none"/>
      <w:lvlText w:val="•"/>
      <w:lvlJc w:val="left"/>
      <w:pPr>
        <w:tabs>
          <w:tab w:val="num" w:pos="1080"/>
        </w:tabs>
        <w:ind w:left="720" w:hanging="360"/>
      </w:pPr>
      <w:rPr>
        <w:rFonts w:hint="default"/>
      </w:rPr>
    </w:lvl>
    <w:lvl w:ilvl="1" w:tplc="7B5052EC">
      <w:numFmt w:val="decimal"/>
      <w:lvlText w:val=""/>
      <w:lvlJc w:val="left"/>
    </w:lvl>
    <w:lvl w:ilvl="2" w:tplc="BEB48D34">
      <w:numFmt w:val="decimal"/>
      <w:lvlText w:val=""/>
      <w:lvlJc w:val="left"/>
    </w:lvl>
    <w:lvl w:ilvl="3" w:tplc="6BC49A2E">
      <w:numFmt w:val="decimal"/>
      <w:lvlText w:val=""/>
      <w:lvlJc w:val="left"/>
    </w:lvl>
    <w:lvl w:ilvl="4" w:tplc="4BB0275C">
      <w:numFmt w:val="decimal"/>
      <w:lvlText w:val=""/>
      <w:lvlJc w:val="left"/>
    </w:lvl>
    <w:lvl w:ilvl="5" w:tplc="7D0A7A52">
      <w:numFmt w:val="decimal"/>
      <w:lvlText w:val=""/>
      <w:lvlJc w:val="left"/>
    </w:lvl>
    <w:lvl w:ilvl="6" w:tplc="42460CC8">
      <w:numFmt w:val="decimal"/>
      <w:lvlText w:val=""/>
      <w:lvlJc w:val="left"/>
    </w:lvl>
    <w:lvl w:ilvl="7" w:tplc="BCD0F2DA">
      <w:numFmt w:val="decimal"/>
      <w:lvlText w:val=""/>
      <w:lvlJc w:val="left"/>
    </w:lvl>
    <w:lvl w:ilvl="8" w:tplc="166EFD66">
      <w:numFmt w:val="decimal"/>
      <w:lvlText w:val=""/>
      <w:lvlJc w:val="left"/>
    </w:lvl>
  </w:abstractNum>
  <w:abstractNum w:abstractNumId="9" w15:restartNumberingAfterBreak="0">
    <w:nsid w:val="189667F6"/>
    <w:multiLevelType w:val="hybridMultilevel"/>
    <w:tmpl w:val="0C54339C"/>
    <w:lvl w:ilvl="0" w:tplc="31E44F4A">
      <w:start w:val="1"/>
      <w:numFmt w:val="decimal"/>
      <w:lvlText w:val="%1."/>
      <w:lvlJc w:val="left"/>
      <w:pPr>
        <w:tabs>
          <w:tab w:val="num" w:pos="1080"/>
        </w:tabs>
        <w:ind w:left="720" w:hanging="360"/>
      </w:pPr>
    </w:lvl>
    <w:lvl w:ilvl="1" w:tplc="3D509468">
      <w:numFmt w:val="decimal"/>
      <w:lvlText w:val=""/>
      <w:lvlJc w:val="left"/>
    </w:lvl>
    <w:lvl w:ilvl="2" w:tplc="FC000E14">
      <w:numFmt w:val="decimal"/>
      <w:lvlText w:val=""/>
      <w:lvlJc w:val="left"/>
    </w:lvl>
    <w:lvl w:ilvl="3" w:tplc="8354B426">
      <w:numFmt w:val="decimal"/>
      <w:lvlText w:val=""/>
      <w:lvlJc w:val="left"/>
    </w:lvl>
    <w:lvl w:ilvl="4" w:tplc="985EF41A">
      <w:numFmt w:val="decimal"/>
      <w:lvlText w:val=""/>
      <w:lvlJc w:val="left"/>
    </w:lvl>
    <w:lvl w:ilvl="5" w:tplc="0E9A90B8">
      <w:numFmt w:val="decimal"/>
      <w:lvlText w:val=""/>
      <w:lvlJc w:val="left"/>
    </w:lvl>
    <w:lvl w:ilvl="6" w:tplc="72D26FDC">
      <w:numFmt w:val="decimal"/>
      <w:lvlText w:val=""/>
      <w:lvlJc w:val="left"/>
    </w:lvl>
    <w:lvl w:ilvl="7" w:tplc="C79AE42E">
      <w:numFmt w:val="decimal"/>
      <w:lvlText w:val=""/>
      <w:lvlJc w:val="left"/>
    </w:lvl>
    <w:lvl w:ilvl="8" w:tplc="40964A18">
      <w:numFmt w:val="decimal"/>
      <w:lvlText w:val=""/>
      <w:lvlJc w:val="left"/>
    </w:lvl>
  </w:abstractNum>
  <w:abstractNum w:abstractNumId="10" w15:restartNumberingAfterBreak="0">
    <w:nsid w:val="1902252E"/>
    <w:multiLevelType w:val="multilevel"/>
    <w:tmpl w:val="3172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B45D4"/>
    <w:multiLevelType w:val="hybridMultilevel"/>
    <w:tmpl w:val="26644D9E"/>
    <w:lvl w:ilvl="0" w:tplc="1E1EE230">
      <w:start w:val="1"/>
      <w:numFmt w:val="bullet"/>
      <w:lvlText w:val=""/>
      <w:lvlJc w:val="left"/>
      <w:pPr>
        <w:tabs>
          <w:tab w:val="num" w:pos="1080"/>
        </w:tabs>
        <w:ind w:left="720" w:hanging="360"/>
      </w:pPr>
      <w:rPr>
        <w:rFonts w:ascii="Symbol" w:hAnsi="Symbol" w:hint="default"/>
      </w:rPr>
    </w:lvl>
    <w:lvl w:ilvl="1" w:tplc="D7F8034E">
      <w:numFmt w:val="decimal"/>
      <w:lvlText w:val=""/>
      <w:lvlJc w:val="left"/>
    </w:lvl>
    <w:lvl w:ilvl="2" w:tplc="197295A6">
      <w:numFmt w:val="decimal"/>
      <w:lvlText w:val=""/>
      <w:lvlJc w:val="left"/>
    </w:lvl>
    <w:lvl w:ilvl="3" w:tplc="955447D0">
      <w:numFmt w:val="decimal"/>
      <w:lvlText w:val=""/>
      <w:lvlJc w:val="left"/>
    </w:lvl>
    <w:lvl w:ilvl="4" w:tplc="8B14141C">
      <w:numFmt w:val="decimal"/>
      <w:lvlText w:val=""/>
      <w:lvlJc w:val="left"/>
    </w:lvl>
    <w:lvl w:ilvl="5" w:tplc="C3B8F73A">
      <w:numFmt w:val="decimal"/>
      <w:lvlText w:val=""/>
      <w:lvlJc w:val="left"/>
    </w:lvl>
    <w:lvl w:ilvl="6" w:tplc="FD427F48">
      <w:numFmt w:val="decimal"/>
      <w:lvlText w:val=""/>
      <w:lvlJc w:val="left"/>
    </w:lvl>
    <w:lvl w:ilvl="7" w:tplc="91B4166A">
      <w:numFmt w:val="decimal"/>
      <w:lvlText w:val=""/>
      <w:lvlJc w:val="left"/>
    </w:lvl>
    <w:lvl w:ilvl="8" w:tplc="5CBAD872">
      <w:numFmt w:val="decimal"/>
      <w:lvlText w:val=""/>
      <w:lvlJc w:val="left"/>
    </w:lvl>
  </w:abstractNum>
  <w:abstractNum w:abstractNumId="12" w15:restartNumberingAfterBreak="0">
    <w:nsid w:val="22125703"/>
    <w:multiLevelType w:val="hybridMultilevel"/>
    <w:tmpl w:val="A002E856"/>
    <w:lvl w:ilvl="0" w:tplc="F0EE8992">
      <w:start w:val="1"/>
      <w:numFmt w:val="bullet"/>
      <w:lvlText w:val=""/>
      <w:lvlJc w:val="left"/>
      <w:pPr>
        <w:tabs>
          <w:tab w:val="num" w:pos="1080"/>
        </w:tabs>
        <w:ind w:left="720" w:hanging="360"/>
      </w:pPr>
      <w:rPr>
        <w:rFonts w:ascii="Symbol" w:hAnsi="Symbol" w:hint="default"/>
      </w:rPr>
    </w:lvl>
    <w:lvl w:ilvl="1" w:tplc="41A48478">
      <w:numFmt w:val="decimal"/>
      <w:lvlText w:val=""/>
      <w:lvlJc w:val="left"/>
    </w:lvl>
    <w:lvl w:ilvl="2" w:tplc="8A4E68AA">
      <w:numFmt w:val="decimal"/>
      <w:lvlText w:val=""/>
      <w:lvlJc w:val="left"/>
    </w:lvl>
    <w:lvl w:ilvl="3" w:tplc="DDEC31CE">
      <w:numFmt w:val="decimal"/>
      <w:lvlText w:val=""/>
      <w:lvlJc w:val="left"/>
    </w:lvl>
    <w:lvl w:ilvl="4" w:tplc="F8D6E9CA">
      <w:numFmt w:val="decimal"/>
      <w:lvlText w:val=""/>
      <w:lvlJc w:val="left"/>
    </w:lvl>
    <w:lvl w:ilvl="5" w:tplc="763424DE">
      <w:numFmt w:val="decimal"/>
      <w:lvlText w:val=""/>
      <w:lvlJc w:val="left"/>
    </w:lvl>
    <w:lvl w:ilvl="6" w:tplc="AF04B5C6">
      <w:numFmt w:val="decimal"/>
      <w:lvlText w:val=""/>
      <w:lvlJc w:val="left"/>
    </w:lvl>
    <w:lvl w:ilvl="7" w:tplc="167E5FC6">
      <w:numFmt w:val="decimal"/>
      <w:lvlText w:val=""/>
      <w:lvlJc w:val="left"/>
    </w:lvl>
    <w:lvl w:ilvl="8" w:tplc="CBE0DB98">
      <w:numFmt w:val="decimal"/>
      <w:lvlText w:val=""/>
      <w:lvlJc w:val="left"/>
    </w:lvl>
  </w:abstractNum>
  <w:abstractNum w:abstractNumId="13" w15:restartNumberingAfterBreak="0">
    <w:nsid w:val="228202C7"/>
    <w:multiLevelType w:val="hybridMultilevel"/>
    <w:tmpl w:val="55AC3530"/>
    <w:lvl w:ilvl="0" w:tplc="B9FA5312">
      <w:start w:val="1"/>
      <w:numFmt w:val="bullet"/>
      <w:lvlText w:val=""/>
      <w:lvlJc w:val="left"/>
      <w:pPr>
        <w:tabs>
          <w:tab w:val="num" w:pos="1080"/>
        </w:tabs>
        <w:ind w:left="720" w:hanging="360"/>
      </w:pPr>
      <w:rPr>
        <w:rFonts w:ascii="Symbol" w:hAnsi="Symbol" w:hint="default"/>
      </w:rPr>
    </w:lvl>
    <w:lvl w:ilvl="1" w:tplc="41327A24">
      <w:numFmt w:val="decimal"/>
      <w:lvlText w:val=""/>
      <w:lvlJc w:val="left"/>
    </w:lvl>
    <w:lvl w:ilvl="2" w:tplc="5CCC8640">
      <w:numFmt w:val="decimal"/>
      <w:lvlText w:val=""/>
      <w:lvlJc w:val="left"/>
    </w:lvl>
    <w:lvl w:ilvl="3" w:tplc="C5EEDBAE">
      <w:numFmt w:val="decimal"/>
      <w:lvlText w:val=""/>
      <w:lvlJc w:val="left"/>
    </w:lvl>
    <w:lvl w:ilvl="4" w:tplc="2E92E838">
      <w:numFmt w:val="decimal"/>
      <w:lvlText w:val=""/>
      <w:lvlJc w:val="left"/>
    </w:lvl>
    <w:lvl w:ilvl="5" w:tplc="456223C4">
      <w:numFmt w:val="decimal"/>
      <w:lvlText w:val=""/>
      <w:lvlJc w:val="left"/>
    </w:lvl>
    <w:lvl w:ilvl="6" w:tplc="838ABADA">
      <w:numFmt w:val="decimal"/>
      <w:lvlText w:val=""/>
      <w:lvlJc w:val="left"/>
    </w:lvl>
    <w:lvl w:ilvl="7" w:tplc="C188F3A4">
      <w:numFmt w:val="decimal"/>
      <w:lvlText w:val=""/>
      <w:lvlJc w:val="left"/>
    </w:lvl>
    <w:lvl w:ilvl="8" w:tplc="7FF42A4C">
      <w:numFmt w:val="decimal"/>
      <w:lvlText w:val=""/>
      <w:lvlJc w:val="left"/>
    </w:lvl>
  </w:abstractNum>
  <w:abstractNum w:abstractNumId="14" w15:restartNumberingAfterBreak="0">
    <w:nsid w:val="24157D0F"/>
    <w:multiLevelType w:val="hybridMultilevel"/>
    <w:tmpl w:val="DE529BA4"/>
    <w:lvl w:ilvl="0" w:tplc="49C67E9A">
      <w:start w:val="1"/>
      <w:numFmt w:val="bullet"/>
      <w:lvlText w:val=""/>
      <w:lvlJc w:val="left"/>
      <w:pPr>
        <w:tabs>
          <w:tab w:val="num" w:pos="1080"/>
        </w:tabs>
        <w:ind w:left="720" w:hanging="360"/>
      </w:pPr>
      <w:rPr>
        <w:rFonts w:ascii="Symbol" w:hAnsi="Symbol" w:hint="default"/>
      </w:rPr>
    </w:lvl>
    <w:lvl w:ilvl="1" w:tplc="7D98AEDC">
      <w:numFmt w:val="decimal"/>
      <w:lvlText w:val=""/>
      <w:lvlJc w:val="left"/>
    </w:lvl>
    <w:lvl w:ilvl="2" w:tplc="C9A43520">
      <w:numFmt w:val="decimal"/>
      <w:lvlText w:val=""/>
      <w:lvlJc w:val="left"/>
    </w:lvl>
    <w:lvl w:ilvl="3" w:tplc="58C27B50">
      <w:numFmt w:val="decimal"/>
      <w:lvlText w:val=""/>
      <w:lvlJc w:val="left"/>
    </w:lvl>
    <w:lvl w:ilvl="4" w:tplc="1A883E36">
      <w:numFmt w:val="decimal"/>
      <w:lvlText w:val=""/>
      <w:lvlJc w:val="left"/>
    </w:lvl>
    <w:lvl w:ilvl="5" w:tplc="168A15A8">
      <w:numFmt w:val="decimal"/>
      <w:lvlText w:val=""/>
      <w:lvlJc w:val="left"/>
    </w:lvl>
    <w:lvl w:ilvl="6" w:tplc="18B40FB0">
      <w:numFmt w:val="decimal"/>
      <w:lvlText w:val=""/>
      <w:lvlJc w:val="left"/>
    </w:lvl>
    <w:lvl w:ilvl="7" w:tplc="158ABBC0">
      <w:numFmt w:val="decimal"/>
      <w:lvlText w:val=""/>
      <w:lvlJc w:val="left"/>
    </w:lvl>
    <w:lvl w:ilvl="8" w:tplc="614AEFDE">
      <w:numFmt w:val="decimal"/>
      <w:lvlText w:val=""/>
      <w:lvlJc w:val="left"/>
    </w:lvl>
  </w:abstractNum>
  <w:abstractNum w:abstractNumId="15" w15:restartNumberingAfterBreak="0">
    <w:nsid w:val="2416174F"/>
    <w:multiLevelType w:val="hybridMultilevel"/>
    <w:tmpl w:val="D018CEA2"/>
    <w:lvl w:ilvl="0" w:tplc="B9EC13C0">
      <w:start w:val="1"/>
      <w:numFmt w:val="bullet"/>
      <w:lvlText w:val=""/>
      <w:lvlJc w:val="left"/>
      <w:pPr>
        <w:tabs>
          <w:tab w:val="num" w:pos="1080"/>
        </w:tabs>
        <w:ind w:left="720" w:hanging="360"/>
      </w:pPr>
      <w:rPr>
        <w:rFonts w:ascii="Symbol" w:hAnsi="Symbol" w:hint="default"/>
      </w:rPr>
    </w:lvl>
    <w:lvl w:ilvl="1" w:tplc="0DC24ABA">
      <w:numFmt w:val="decimal"/>
      <w:lvlText w:val=""/>
      <w:lvlJc w:val="left"/>
    </w:lvl>
    <w:lvl w:ilvl="2" w:tplc="35205E70">
      <w:numFmt w:val="decimal"/>
      <w:lvlText w:val=""/>
      <w:lvlJc w:val="left"/>
    </w:lvl>
    <w:lvl w:ilvl="3" w:tplc="7620307C">
      <w:numFmt w:val="decimal"/>
      <w:lvlText w:val=""/>
      <w:lvlJc w:val="left"/>
    </w:lvl>
    <w:lvl w:ilvl="4" w:tplc="84B4943A">
      <w:numFmt w:val="decimal"/>
      <w:lvlText w:val=""/>
      <w:lvlJc w:val="left"/>
    </w:lvl>
    <w:lvl w:ilvl="5" w:tplc="FE163BF2">
      <w:numFmt w:val="decimal"/>
      <w:lvlText w:val=""/>
      <w:lvlJc w:val="left"/>
    </w:lvl>
    <w:lvl w:ilvl="6" w:tplc="3724CB9A">
      <w:numFmt w:val="decimal"/>
      <w:lvlText w:val=""/>
      <w:lvlJc w:val="left"/>
    </w:lvl>
    <w:lvl w:ilvl="7" w:tplc="5288996A">
      <w:numFmt w:val="decimal"/>
      <w:lvlText w:val=""/>
      <w:lvlJc w:val="left"/>
    </w:lvl>
    <w:lvl w:ilvl="8" w:tplc="F2206FFC">
      <w:numFmt w:val="decimal"/>
      <w:lvlText w:val=""/>
      <w:lvlJc w:val="left"/>
    </w:lvl>
  </w:abstractNum>
  <w:abstractNum w:abstractNumId="16" w15:restartNumberingAfterBreak="0">
    <w:nsid w:val="25091030"/>
    <w:multiLevelType w:val="multilevel"/>
    <w:tmpl w:val="84FEA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40488A"/>
    <w:multiLevelType w:val="hybridMultilevel"/>
    <w:tmpl w:val="0F2C78DA"/>
    <w:lvl w:ilvl="0" w:tplc="DB1EAE12">
      <w:start w:val="1"/>
      <w:numFmt w:val="bullet"/>
      <w:lvlText w:val=""/>
      <w:lvlJc w:val="left"/>
      <w:pPr>
        <w:tabs>
          <w:tab w:val="num" w:pos="1080"/>
        </w:tabs>
        <w:ind w:left="720" w:hanging="360"/>
      </w:pPr>
      <w:rPr>
        <w:rFonts w:ascii="Symbol" w:hAnsi="Symbol" w:hint="default"/>
      </w:rPr>
    </w:lvl>
    <w:lvl w:ilvl="1" w:tplc="818C7B3C">
      <w:numFmt w:val="decimal"/>
      <w:lvlText w:val=""/>
      <w:lvlJc w:val="left"/>
    </w:lvl>
    <w:lvl w:ilvl="2" w:tplc="33C0C99E">
      <w:numFmt w:val="decimal"/>
      <w:lvlText w:val=""/>
      <w:lvlJc w:val="left"/>
    </w:lvl>
    <w:lvl w:ilvl="3" w:tplc="5762A186">
      <w:numFmt w:val="decimal"/>
      <w:lvlText w:val=""/>
      <w:lvlJc w:val="left"/>
    </w:lvl>
    <w:lvl w:ilvl="4" w:tplc="2D46369A">
      <w:numFmt w:val="decimal"/>
      <w:lvlText w:val=""/>
      <w:lvlJc w:val="left"/>
    </w:lvl>
    <w:lvl w:ilvl="5" w:tplc="0F462FC8">
      <w:numFmt w:val="decimal"/>
      <w:lvlText w:val=""/>
      <w:lvlJc w:val="left"/>
    </w:lvl>
    <w:lvl w:ilvl="6" w:tplc="9C7473BC">
      <w:numFmt w:val="decimal"/>
      <w:lvlText w:val=""/>
      <w:lvlJc w:val="left"/>
    </w:lvl>
    <w:lvl w:ilvl="7" w:tplc="8698D6B8">
      <w:numFmt w:val="decimal"/>
      <w:lvlText w:val=""/>
      <w:lvlJc w:val="left"/>
    </w:lvl>
    <w:lvl w:ilvl="8" w:tplc="0C4E8268">
      <w:numFmt w:val="decimal"/>
      <w:lvlText w:val=""/>
      <w:lvlJc w:val="left"/>
    </w:lvl>
  </w:abstractNum>
  <w:abstractNum w:abstractNumId="18" w15:restartNumberingAfterBreak="0">
    <w:nsid w:val="2C334B7E"/>
    <w:multiLevelType w:val="hybridMultilevel"/>
    <w:tmpl w:val="DD30FD26"/>
    <w:lvl w:ilvl="0" w:tplc="4DD2E62A">
      <w:start w:val="1"/>
      <w:numFmt w:val="bullet"/>
      <w:lvlText w:val=""/>
      <w:lvlJc w:val="left"/>
      <w:pPr>
        <w:tabs>
          <w:tab w:val="num" w:pos="1080"/>
        </w:tabs>
        <w:ind w:left="720" w:hanging="360"/>
      </w:pPr>
      <w:rPr>
        <w:rFonts w:ascii="Symbol" w:hAnsi="Symbol" w:hint="default"/>
      </w:rPr>
    </w:lvl>
    <w:lvl w:ilvl="1" w:tplc="702A5C88">
      <w:numFmt w:val="decimal"/>
      <w:lvlText w:val=""/>
      <w:lvlJc w:val="left"/>
    </w:lvl>
    <w:lvl w:ilvl="2" w:tplc="4D181CC6">
      <w:numFmt w:val="decimal"/>
      <w:lvlText w:val=""/>
      <w:lvlJc w:val="left"/>
    </w:lvl>
    <w:lvl w:ilvl="3" w:tplc="1B9A45E2">
      <w:numFmt w:val="decimal"/>
      <w:lvlText w:val=""/>
      <w:lvlJc w:val="left"/>
    </w:lvl>
    <w:lvl w:ilvl="4" w:tplc="6C30F276">
      <w:numFmt w:val="decimal"/>
      <w:lvlText w:val=""/>
      <w:lvlJc w:val="left"/>
    </w:lvl>
    <w:lvl w:ilvl="5" w:tplc="4754EFE0">
      <w:numFmt w:val="decimal"/>
      <w:lvlText w:val=""/>
      <w:lvlJc w:val="left"/>
    </w:lvl>
    <w:lvl w:ilvl="6" w:tplc="25FCB01A">
      <w:numFmt w:val="decimal"/>
      <w:lvlText w:val=""/>
      <w:lvlJc w:val="left"/>
    </w:lvl>
    <w:lvl w:ilvl="7" w:tplc="84926E40">
      <w:numFmt w:val="decimal"/>
      <w:lvlText w:val=""/>
      <w:lvlJc w:val="left"/>
    </w:lvl>
    <w:lvl w:ilvl="8" w:tplc="18E0C94C">
      <w:numFmt w:val="decimal"/>
      <w:lvlText w:val=""/>
      <w:lvlJc w:val="left"/>
    </w:lvl>
  </w:abstractNum>
  <w:abstractNum w:abstractNumId="19" w15:restartNumberingAfterBreak="0">
    <w:nsid w:val="2C365354"/>
    <w:multiLevelType w:val="hybridMultilevel"/>
    <w:tmpl w:val="00CAC6A6"/>
    <w:lvl w:ilvl="0" w:tplc="71A0753A">
      <w:start w:val="1"/>
      <w:numFmt w:val="bullet"/>
      <w:lvlText w:val=""/>
      <w:lvlJc w:val="left"/>
      <w:pPr>
        <w:tabs>
          <w:tab w:val="num" w:pos="1080"/>
        </w:tabs>
        <w:ind w:left="720" w:hanging="360"/>
      </w:pPr>
      <w:rPr>
        <w:rFonts w:ascii="Symbol" w:hAnsi="Symbol" w:hint="default"/>
      </w:rPr>
    </w:lvl>
    <w:lvl w:ilvl="1" w:tplc="8E20E092">
      <w:numFmt w:val="decimal"/>
      <w:lvlText w:val=""/>
      <w:lvlJc w:val="left"/>
    </w:lvl>
    <w:lvl w:ilvl="2" w:tplc="DDDA76C6">
      <w:numFmt w:val="decimal"/>
      <w:lvlText w:val=""/>
      <w:lvlJc w:val="left"/>
    </w:lvl>
    <w:lvl w:ilvl="3" w:tplc="1E920DE2">
      <w:numFmt w:val="decimal"/>
      <w:lvlText w:val=""/>
      <w:lvlJc w:val="left"/>
    </w:lvl>
    <w:lvl w:ilvl="4" w:tplc="17602E62">
      <w:numFmt w:val="decimal"/>
      <w:lvlText w:val=""/>
      <w:lvlJc w:val="left"/>
    </w:lvl>
    <w:lvl w:ilvl="5" w:tplc="BE2C544E">
      <w:numFmt w:val="decimal"/>
      <w:lvlText w:val=""/>
      <w:lvlJc w:val="left"/>
    </w:lvl>
    <w:lvl w:ilvl="6" w:tplc="C1AA5260">
      <w:numFmt w:val="decimal"/>
      <w:lvlText w:val=""/>
      <w:lvlJc w:val="left"/>
    </w:lvl>
    <w:lvl w:ilvl="7" w:tplc="B90467B2">
      <w:numFmt w:val="decimal"/>
      <w:lvlText w:val=""/>
      <w:lvlJc w:val="left"/>
    </w:lvl>
    <w:lvl w:ilvl="8" w:tplc="9A308A7E">
      <w:numFmt w:val="decimal"/>
      <w:lvlText w:val=""/>
      <w:lvlJc w:val="left"/>
    </w:lvl>
  </w:abstractNum>
  <w:abstractNum w:abstractNumId="20" w15:restartNumberingAfterBreak="0">
    <w:nsid w:val="2CD110B1"/>
    <w:multiLevelType w:val="hybridMultilevel"/>
    <w:tmpl w:val="D87EF2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131796"/>
    <w:multiLevelType w:val="hybridMultilevel"/>
    <w:tmpl w:val="2E5042E0"/>
    <w:lvl w:ilvl="0" w:tplc="21D44BD2">
      <w:start w:val="1"/>
      <w:numFmt w:val="bullet"/>
      <w:lvlText w:val=""/>
      <w:lvlJc w:val="left"/>
      <w:pPr>
        <w:tabs>
          <w:tab w:val="num" w:pos="1080"/>
        </w:tabs>
        <w:ind w:left="720" w:hanging="360"/>
      </w:pPr>
      <w:rPr>
        <w:rFonts w:ascii="Symbol" w:hAnsi="Symbol" w:hint="default"/>
      </w:rPr>
    </w:lvl>
    <w:lvl w:ilvl="1" w:tplc="32CADE16">
      <w:numFmt w:val="decimal"/>
      <w:lvlText w:val=""/>
      <w:lvlJc w:val="left"/>
    </w:lvl>
    <w:lvl w:ilvl="2" w:tplc="70D4EF6E">
      <w:numFmt w:val="decimal"/>
      <w:lvlText w:val=""/>
      <w:lvlJc w:val="left"/>
    </w:lvl>
    <w:lvl w:ilvl="3" w:tplc="F31E71AE">
      <w:numFmt w:val="decimal"/>
      <w:lvlText w:val=""/>
      <w:lvlJc w:val="left"/>
    </w:lvl>
    <w:lvl w:ilvl="4" w:tplc="A2A64EA4">
      <w:numFmt w:val="decimal"/>
      <w:lvlText w:val=""/>
      <w:lvlJc w:val="left"/>
    </w:lvl>
    <w:lvl w:ilvl="5" w:tplc="82DA4598">
      <w:numFmt w:val="decimal"/>
      <w:lvlText w:val=""/>
      <w:lvlJc w:val="left"/>
    </w:lvl>
    <w:lvl w:ilvl="6" w:tplc="64C2E9A6">
      <w:numFmt w:val="decimal"/>
      <w:lvlText w:val=""/>
      <w:lvlJc w:val="left"/>
    </w:lvl>
    <w:lvl w:ilvl="7" w:tplc="2BF006CA">
      <w:numFmt w:val="decimal"/>
      <w:lvlText w:val=""/>
      <w:lvlJc w:val="left"/>
    </w:lvl>
    <w:lvl w:ilvl="8" w:tplc="E7AAF7C4">
      <w:numFmt w:val="decimal"/>
      <w:lvlText w:val=""/>
      <w:lvlJc w:val="left"/>
    </w:lvl>
  </w:abstractNum>
  <w:abstractNum w:abstractNumId="22" w15:restartNumberingAfterBreak="0">
    <w:nsid w:val="308643DA"/>
    <w:multiLevelType w:val="hybridMultilevel"/>
    <w:tmpl w:val="ABBE0A76"/>
    <w:lvl w:ilvl="0" w:tplc="C85CF688">
      <w:start w:val="1"/>
      <w:numFmt w:val="bullet"/>
      <w:lvlText w:val=""/>
      <w:lvlJc w:val="left"/>
      <w:pPr>
        <w:tabs>
          <w:tab w:val="num" w:pos="1080"/>
        </w:tabs>
        <w:ind w:left="720" w:hanging="360"/>
      </w:pPr>
      <w:rPr>
        <w:rFonts w:ascii="Symbol" w:hAnsi="Symbol" w:hint="default"/>
      </w:rPr>
    </w:lvl>
    <w:lvl w:ilvl="1" w:tplc="72861946">
      <w:numFmt w:val="decimal"/>
      <w:lvlText w:val=""/>
      <w:lvlJc w:val="left"/>
    </w:lvl>
    <w:lvl w:ilvl="2" w:tplc="D042F3D0">
      <w:numFmt w:val="decimal"/>
      <w:lvlText w:val=""/>
      <w:lvlJc w:val="left"/>
    </w:lvl>
    <w:lvl w:ilvl="3" w:tplc="2116B590">
      <w:numFmt w:val="decimal"/>
      <w:lvlText w:val=""/>
      <w:lvlJc w:val="left"/>
    </w:lvl>
    <w:lvl w:ilvl="4" w:tplc="ECE47F2C">
      <w:numFmt w:val="decimal"/>
      <w:lvlText w:val=""/>
      <w:lvlJc w:val="left"/>
    </w:lvl>
    <w:lvl w:ilvl="5" w:tplc="539AD162">
      <w:numFmt w:val="decimal"/>
      <w:lvlText w:val=""/>
      <w:lvlJc w:val="left"/>
    </w:lvl>
    <w:lvl w:ilvl="6" w:tplc="3DB47200">
      <w:numFmt w:val="decimal"/>
      <w:lvlText w:val=""/>
      <w:lvlJc w:val="left"/>
    </w:lvl>
    <w:lvl w:ilvl="7" w:tplc="046261EE">
      <w:numFmt w:val="decimal"/>
      <w:lvlText w:val=""/>
      <w:lvlJc w:val="left"/>
    </w:lvl>
    <w:lvl w:ilvl="8" w:tplc="5B1474C4">
      <w:numFmt w:val="decimal"/>
      <w:lvlText w:val=""/>
      <w:lvlJc w:val="left"/>
    </w:lvl>
  </w:abstractNum>
  <w:abstractNum w:abstractNumId="23" w15:restartNumberingAfterBreak="0">
    <w:nsid w:val="32EF356D"/>
    <w:multiLevelType w:val="hybridMultilevel"/>
    <w:tmpl w:val="7E0CEE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45B43CD"/>
    <w:multiLevelType w:val="hybridMultilevel"/>
    <w:tmpl w:val="81C4C0B8"/>
    <w:lvl w:ilvl="0" w:tplc="FC247A24">
      <w:start w:val="1"/>
      <w:numFmt w:val="bullet"/>
      <w:lvlText w:val=""/>
      <w:lvlJc w:val="left"/>
      <w:pPr>
        <w:tabs>
          <w:tab w:val="num" w:pos="1080"/>
        </w:tabs>
        <w:ind w:left="720" w:hanging="360"/>
      </w:pPr>
      <w:rPr>
        <w:rFonts w:ascii="Symbol" w:hAnsi="Symbol" w:hint="default"/>
      </w:rPr>
    </w:lvl>
    <w:lvl w:ilvl="1" w:tplc="35BA6AC8">
      <w:numFmt w:val="decimal"/>
      <w:lvlText w:val=""/>
      <w:lvlJc w:val="left"/>
    </w:lvl>
    <w:lvl w:ilvl="2" w:tplc="02B05E10">
      <w:numFmt w:val="decimal"/>
      <w:lvlText w:val=""/>
      <w:lvlJc w:val="left"/>
    </w:lvl>
    <w:lvl w:ilvl="3" w:tplc="11460A0A">
      <w:numFmt w:val="decimal"/>
      <w:lvlText w:val=""/>
      <w:lvlJc w:val="left"/>
    </w:lvl>
    <w:lvl w:ilvl="4" w:tplc="5C9C60F0">
      <w:numFmt w:val="decimal"/>
      <w:lvlText w:val=""/>
      <w:lvlJc w:val="left"/>
    </w:lvl>
    <w:lvl w:ilvl="5" w:tplc="6FF0D93E">
      <w:numFmt w:val="decimal"/>
      <w:lvlText w:val=""/>
      <w:lvlJc w:val="left"/>
    </w:lvl>
    <w:lvl w:ilvl="6" w:tplc="CB1A3882">
      <w:numFmt w:val="decimal"/>
      <w:lvlText w:val=""/>
      <w:lvlJc w:val="left"/>
    </w:lvl>
    <w:lvl w:ilvl="7" w:tplc="3604BF02">
      <w:numFmt w:val="decimal"/>
      <w:lvlText w:val=""/>
      <w:lvlJc w:val="left"/>
    </w:lvl>
    <w:lvl w:ilvl="8" w:tplc="692E9A66">
      <w:numFmt w:val="decimal"/>
      <w:lvlText w:val=""/>
      <w:lvlJc w:val="left"/>
    </w:lvl>
  </w:abstractNum>
  <w:abstractNum w:abstractNumId="25" w15:restartNumberingAfterBreak="0">
    <w:nsid w:val="34EE520E"/>
    <w:multiLevelType w:val="hybridMultilevel"/>
    <w:tmpl w:val="535ECD40"/>
    <w:lvl w:ilvl="0" w:tplc="8EA6F118">
      <w:start w:val="1"/>
      <w:numFmt w:val="bullet"/>
      <w:lvlText w:val=""/>
      <w:lvlJc w:val="left"/>
      <w:pPr>
        <w:tabs>
          <w:tab w:val="num" w:pos="1080"/>
        </w:tabs>
        <w:ind w:left="720" w:hanging="360"/>
      </w:pPr>
      <w:rPr>
        <w:rFonts w:ascii="Symbol" w:hAnsi="Symbol" w:hint="default"/>
      </w:rPr>
    </w:lvl>
    <w:lvl w:ilvl="1" w:tplc="B86826A0">
      <w:numFmt w:val="decimal"/>
      <w:lvlText w:val=""/>
      <w:lvlJc w:val="left"/>
    </w:lvl>
    <w:lvl w:ilvl="2" w:tplc="09DA5200">
      <w:numFmt w:val="decimal"/>
      <w:lvlText w:val=""/>
      <w:lvlJc w:val="left"/>
    </w:lvl>
    <w:lvl w:ilvl="3" w:tplc="379E1012">
      <w:numFmt w:val="decimal"/>
      <w:lvlText w:val=""/>
      <w:lvlJc w:val="left"/>
    </w:lvl>
    <w:lvl w:ilvl="4" w:tplc="EE56EC84">
      <w:numFmt w:val="decimal"/>
      <w:lvlText w:val=""/>
      <w:lvlJc w:val="left"/>
    </w:lvl>
    <w:lvl w:ilvl="5" w:tplc="36CC933A">
      <w:numFmt w:val="decimal"/>
      <w:lvlText w:val=""/>
      <w:lvlJc w:val="left"/>
    </w:lvl>
    <w:lvl w:ilvl="6" w:tplc="A51A7D7E">
      <w:numFmt w:val="decimal"/>
      <w:lvlText w:val=""/>
      <w:lvlJc w:val="left"/>
    </w:lvl>
    <w:lvl w:ilvl="7" w:tplc="AADAD952">
      <w:numFmt w:val="decimal"/>
      <w:lvlText w:val=""/>
      <w:lvlJc w:val="left"/>
    </w:lvl>
    <w:lvl w:ilvl="8" w:tplc="A1943790">
      <w:numFmt w:val="decimal"/>
      <w:lvlText w:val=""/>
      <w:lvlJc w:val="left"/>
    </w:lvl>
  </w:abstractNum>
  <w:abstractNum w:abstractNumId="26" w15:restartNumberingAfterBreak="0">
    <w:nsid w:val="35A77796"/>
    <w:multiLevelType w:val="hybridMultilevel"/>
    <w:tmpl w:val="0E6A6906"/>
    <w:lvl w:ilvl="0" w:tplc="7890909C">
      <w:start w:val="1"/>
      <w:numFmt w:val="bullet"/>
      <w:lvlText w:val=""/>
      <w:lvlJc w:val="left"/>
      <w:pPr>
        <w:tabs>
          <w:tab w:val="num" w:pos="1080"/>
        </w:tabs>
        <w:ind w:left="720" w:hanging="360"/>
      </w:pPr>
      <w:rPr>
        <w:rFonts w:ascii="Symbol" w:hAnsi="Symbol" w:hint="default"/>
      </w:rPr>
    </w:lvl>
    <w:lvl w:ilvl="1" w:tplc="5E2043EE">
      <w:numFmt w:val="decimal"/>
      <w:lvlText w:val=""/>
      <w:lvlJc w:val="left"/>
    </w:lvl>
    <w:lvl w:ilvl="2" w:tplc="76B0DB94">
      <w:numFmt w:val="decimal"/>
      <w:lvlText w:val=""/>
      <w:lvlJc w:val="left"/>
    </w:lvl>
    <w:lvl w:ilvl="3" w:tplc="3558BA5C">
      <w:numFmt w:val="decimal"/>
      <w:lvlText w:val=""/>
      <w:lvlJc w:val="left"/>
    </w:lvl>
    <w:lvl w:ilvl="4" w:tplc="E2D005E2">
      <w:numFmt w:val="decimal"/>
      <w:lvlText w:val=""/>
      <w:lvlJc w:val="left"/>
    </w:lvl>
    <w:lvl w:ilvl="5" w:tplc="16DC4D8A">
      <w:numFmt w:val="decimal"/>
      <w:lvlText w:val=""/>
      <w:lvlJc w:val="left"/>
    </w:lvl>
    <w:lvl w:ilvl="6" w:tplc="37F6361E">
      <w:numFmt w:val="decimal"/>
      <w:lvlText w:val=""/>
      <w:lvlJc w:val="left"/>
    </w:lvl>
    <w:lvl w:ilvl="7" w:tplc="7996CC6A">
      <w:numFmt w:val="decimal"/>
      <w:lvlText w:val=""/>
      <w:lvlJc w:val="left"/>
    </w:lvl>
    <w:lvl w:ilvl="8" w:tplc="89DAD912">
      <w:numFmt w:val="decimal"/>
      <w:lvlText w:val=""/>
      <w:lvlJc w:val="left"/>
    </w:lvl>
  </w:abstractNum>
  <w:abstractNum w:abstractNumId="27" w15:restartNumberingAfterBreak="0">
    <w:nsid w:val="398D23D6"/>
    <w:multiLevelType w:val="multilevel"/>
    <w:tmpl w:val="02EE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D73D08"/>
    <w:multiLevelType w:val="hybridMultilevel"/>
    <w:tmpl w:val="41748E4E"/>
    <w:lvl w:ilvl="0" w:tplc="AF8E7980">
      <w:start w:val="1"/>
      <w:numFmt w:val="bullet"/>
      <w:lvlText w:val=""/>
      <w:lvlJc w:val="left"/>
      <w:pPr>
        <w:tabs>
          <w:tab w:val="num" w:pos="1080"/>
        </w:tabs>
        <w:ind w:left="720" w:hanging="360"/>
      </w:pPr>
      <w:rPr>
        <w:rFonts w:ascii="Symbol" w:hAnsi="Symbol" w:hint="default"/>
      </w:rPr>
    </w:lvl>
    <w:lvl w:ilvl="1" w:tplc="A1EA135A">
      <w:numFmt w:val="decimal"/>
      <w:lvlText w:val=""/>
      <w:lvlJc w:val="left"/>
    </w:lvl>
    <w:lvl w:ilvl="2" w:tplc="CB16B2E6">
      <w:numFmt w:val="decimal"/>
      <w:lvlText w:val=""/>
      <w:lvlJc w:val="left"/>
    </w:lvl>
    <w:lvl w:ilvl="3" w:tplc="ADD20230">
      <w:numFmt w:val="decimal"/>
      <w:lvlText w:val=""/>
      <w:lvlJc w:val="left"/>
    </w:lvl>
    <w:lvl w:ilvl="4" w:tplc="6C30EF6A">
      <w:numFmt w:val="decimal"/>
      <w:lvlText w:val=""/>
      <w:lvlJc w:val="left"/>
    </w:lvl>
    <w:lvl w:ilvl="5" w:tplc="7D0A4698">
      <w:numFmt w:val="decimal"/>
      <w:lvlText w:val=""/>
      <w:lvlJc w:val="left"/>
    </w:lvl>
    <w:lvl w:ilvl="6" w:tplc="A9BC21FA">
      <w:numFmt w:val="decimal"/>
      <w:lvlText w:val=""/>
      <w:lvlJc w:val="left"/>
    </w:lvl>
    <w:lvl w:ilvl="7" w:tplc="BB1460C0">
      <w:numFmt w:val="decimal"/>
      <w:lvlText w:val=""/>
      <w:lvlJc w:val="left"/>
    </w:lvl>
    <w:lvl w:ilvl="8" w:tplc="42F0537A">
      <w:numFmt w:val="decimal"/>
      <w:lvlText w:val=""/>
      <w:lvlJc w:val="left"/>
    </w:lvl>
  </w:abstractNum>
  <w:abstractNum w:abstractNumId="29" w15:restartNumberingAfterBreak="0">
    <w:nsid w:val="3A27379C"/>
    <w:multiLevelType w:val="hybridMultilevel"/>
    <w:tmpl w:val="36A81E00"/>
    <w:lvl w:ilvl="0" w:tplc="6B9A6440">
      <w:start w:val="1"/>
      <w:numFmt w:val="bullet"/>
      <w:lvlText w:val=""/>
      <w:lvlJc w:val="left"/>
      <w:pPr>
        <w:tabs>
          <w:tab w:val="num" w:pos="1080"/>
        </w:tabs>
        <w:ind w:left="720" w:hanging="360"/>
      </w:pPr>
      <w:rPr>
        <w:rFonts w:ascii="Symbol" w:hAnsi="Symbol" w:hint="default"/>
      </w:rPr>
    </w:lvl>
    <w:lvl w:ilvl="1" w:tplc="55564ECC">
      <w:numFmt w:val="decimal"/>
      <w:lvlText w:val=""/>
      <w:lvlJc w:val="left"/>
    </w:lvl>
    <w:lvl w:ilvl="2" w:tplc="5CBE76EE">
      <w:numFmt w:val="decimal"/>
      <w:lvlText w:val=""/>
      <w:lvlJc w:val="left"/>
    </w:lvl>
    <w:lvl w:ilvl="3" w:tplc="22C2EA86">
      <w:numFmt w:val="decimal"/>
      <w:lvlText w:val=""/>
      <w:lvlJc w:val="left"/>
    </w:lvl>
    <w:lvl w:ilvl="4" w:tplc="BE46FC2E">
      <w:numFmt w:val="decimal"/>
      <w:lvlText w:val=""/>
      <w:lvlJc w:val="left"/>
    </w:lvl>
    <w:lvl w:ilvl="5" w:tplc="29A024E2">
      <w:numFmt w:val="decimal"/>
      <w:lvlText w:val=""/>
      <w:lvlJc w:val="left"/>
    </w:lvl>
    <w:lvl w:ilvl="6" w:tplc="6728DD28">
      <w:numFmt w:val="decimal"/>
      <w:lvlText w:val=""/>
      <w:lvlJc w:val="left"/>
    </w:lvl>
    <w:lvl w:ilvl="7" w:tplc="E0189CE2">
      <w:numFmt w:val="decimal"/>
      <w:lvlText w:val=""/>
      <w:lvlJc w:val="left"/>
    </w:lvl>
    <w:lvl w:ilvl="8" w:tplc="23641460">
      <w:numFmt w:val="decimal"/>
      <w:lvlText w:val=""/>
      <w:lvlJc w:val="left"/>
    </w:lvl>
  </w:abstractNum>
  <w:abstractNum w:abstractNumId="30" w15:restartNumberingAfterBreak="0">
    <w:nsid w:val="3C4D0E25"/>
    <w:multiLevelType w:val="hybridMultilevel"/>
    <w:tmpl w:val="8286C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CF82A81"/>
    <w:multiLevelType w:val="hybridMultilevel"/>
    <w:tmpl w:val="C1289C90"/>
    <w:lvl w:ilvl="0" w:tplc="BE4E53F6">
      <w:start w:val="1"/>
      <w:numFmt w:val="bullet"/>
      <w:lvlText w:val=""/>
      <w:lvlJc w:val="left"/>
      <w:pPr>
        <w:tabs>
          <w:tab w:val="num" w:pos="1080"/>
        </w:tabs>
        <w:ind w:left="720" w:hanging="360"/>
      </w:pPr>
      <w:rPr>
        <w:rFonts w:ascii="Symbol" w:hAnsi="Symbol" w:hint="default"/>
      </w:rPr>
    </w:lvl>
    <w:lvl w:ilvl="1" w:tplc="949CD160">
      <w:numFmt w:val="decimal"/>
      <w:lvlText w:val=""/>
      <w:lvlJc w:val="left"/>
    </w:lvl>
    <w:lvl w:ilvl="2" w:tplc="0564196C">
      <w:numFmt w:val="decimal"/>
      <w:lvlText w:val=""/>
      <w:lvlJc w:val="left"/>
    </w:lvl>
    <w:lvl w:ilvl="3" w:tplc="BC5804A0">
      <w:numFmt w:val="decimal"/>
      <w:lvlText w:val=""/>
      <w:lvlJc w:val="left"/>
    </w:lvl>
    <w:lvl w:ilvl="4" w:tplc="D6F05FE6">
      <w:numFmt w:val="decimal"/>
      <w:lvlText w:val=""/>
      <w:lvlJc w:val="left"/>
    </w:lvl>
    <w:lvl w:ilvl="5" w:tplc="64C07BF0">
      <w:numFmt w:val="decimal"/>
      <w:lvlText w:val=""/>
      <w:lvlJc w:val="left"/>
    </w:lvl>
    <w:lvl w:ilvl="6" w:tplc="3724DB68">
      <w:numFmt w:val="decimal"/>
      <w:lvlText w:val=""/>
      <w:lvlJc w:val="left"/>
    </w:lvl>
    <w:lvl w:ilvl="7" w:tplc="DDC0B7E0">
      <w:numFmt w:val="decimal"/>
      <w:lvlText w:val=""/>
      <w:lvlJc w:val="left"/>
    </w:lvl>
    <w:lvl w:ilvl="8" w:tplc="85D6D3D0">
      <w:numFmt w:val="decimal"/>
      <w:lvlText w:val=""/>
      <w:lvlJc w:val="left"/>
    </w:lvl>
  </w:abstractNum>
  <w:abstractNum w:abstractNumId="32" w15:restartNumberingAfterBreak="0">
    <w:nsid w:val="42FE5F11"/>
    <w:multiLevelType w:val="hybridMultilevel"/>
    <w:tmpl w:val="D7EAC172"/>
    <w:lvl w:ilvl="0" w:tplc="B6C2DC1C">
      <w:start w:val="1"/>
      <w:numFmt w:val="bullet"/>
      <w:lvlText w:val=""/>
      <w:lvlJc w:val="left"/>
      <w:pPr>
        <w:tabs>
          <w:tab w:val="num" w:pos="1080"/>
        </w:tabs>
        <w:ind w:left="720" w:hanging="360"/>
      </w:pPr>
      <w:rPr>
        <w:rFonts w:ascii="Symbol" w:hAnsi="Symbol" w:hint="default"/>
      </w:rPr>
    </w:lvl>
    <w:lvl w:ilvl="1" w:tplc="D0FE2798">
      <w:numFmt w:val="decimal"/>
      <w:lvlText w:val=""/>
      <w:lvlJc w:val="left"/>
    </w:lvl>
    <w:lvl w:ilvl="2" w:tplc="3B42AEA0">
      <w:numFmt w:val="decimal"/>
      <w:lvlText w:val=""/>
      <w:lvlJc w:val="left"/>
    </w:lvl>
    <w:lvl w:ilvl="3" w:tplc="CC4AEA1E">
      <w:numFmt w:val="decimal"/>
      <w:lvlText w:val=""/>
      <w:lvlJc w:val="left"/>
    </w:lvl>
    <w:lvl w:ilvl="4" w:tplc="24B6B04C">
      <w:numFmt w:val="decimal"/>
      <w:lvlText w:val=""/>
      <w:lvlJc w:val="left"/>
    </w:lvl>
    <w:lvl w:ilvl="5" w:tplc="0586601E">
      <w:numFmt w:val="decimal"/>
      <w:lvlText w:val=""/>
      <w:lvlJc w:val="left"/>
    </w:lvl>
    <w:lvl w:ilvl="6" w:tplc="EB70B508">
      <w:numFmt w:val="decimal"/>
      <w:lvlText w:val=""/>
      <w:lvlJc w:val="left"/>
    </w:lvl>
    <w:lvl w:ilvl="7" w:tplc="ACA4C130">
      <w:numFmt w:val="decimal"/>
      <w:lvlText w:val=""/>
      <w:lvlJc w:val="left"/>
    </w:lvl>
    <w:lvl w:ilvl="8" w:tplc="F50EBF2C">
      <w:numFmt w:val="decimal"/>
      <w:lvlText w:val=""/>
      <w:lvlJc w:val="left"/>
    </w:lvl>
  </w:abstractNum>
  <w:abstractNum w:abstractNumId="33" w15:restartNumberingAfterBreak="0">
    <w:nsid w:val="433F0973"/>
    <w:multiLevelType w:val="multilevel"/>
    <w:tmpl w:val="3E0C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3846256"/>
    <w:multiLevelType w:val="hybridMultilevel"/>
    <w:tmpl w:val="8DEAAF08"/>
    <w:lvl w:ilvl="0" w:tplc="6AA6C24A">
      <w:start w:val="1"/>
      <w:numFmt w:val="bullet"/>
      <w:lvlText w:val=""/>
      <w:lvlJc w:val="left"/>
      <w:pPr>
        <w:tabs>
          <w:tab w:val="num" w:pos="1080"/>
        </w:tabs>
        <w:ind w:left="720" w:hanging="360"/>
      </w:pPr>
      <w:rPr>
        <w:rFonts w:ascii="Symbol" w:hAnsi="Symbol" w:hint="default"/>
      </w:rPr>
    </w:lvl>
    <w:lvl w:ilvl="1" w:tplc="3A0E84BC">
      <w:numFmt w:val="decimal"/>
      <w:lvlText w:val=""/>
      <w:lvlJc w:val="left"/>
    </w:lvl>
    <w:lvl w:ilvl="2" w:tplc="902C80A0">
      <w:numFmt w:val="decimal"/>
      <w:lvlText w:val=""/>
      <w:lvlJc w:val="left"/>
    </w:lvl>
    <w:lvl w:ilvl="3" w:tplc="D952D806">
      <w:numFmt w:val="decimal"/>
      <w:lvlText w:val=""/>
      <w:lvlJc w:val="left"/>
    </w:lvl>
    <w:lvl w:ilvl="4" w:tplc="0B62261A">
      <w:numFmt w:val="decimal"/>
      <w:lvlText w:val=""/>
      <w:lvlJc w:val="left"/>
    </w:lvl>
    <w:lvl w:ilvl="5" w:tplc="17104618">
      <w:numFmt w:val="decimal"/>
      <w:lvlText w:val=""/>
      <w:lvlJc w:val="left"/>
    </w:lvl>
    <w:lvl w:ilvl="6" w:tplc="679EA99A">
      <w:numFmt w:val="decimal"/>
      <w:lvlText w:val=""/>
      <w:lvlJc w:val="left"/>
    </w:lvl>
    <w:lvl w:ilvl="7" w:tplc="E3AC0152">
      <w:numFmt w:val="decimal"/>
      <w:lvlText w:val=""/>
      <w:lvlJc w:val="left"/>
    </w:lvl>
    <w:lvl w:ilvl="8" w:tplc="2938C3A4">
      <w:numFmt w:val="decimal"/>
      <w:lvlText w:val=""/>
      <w:lvlJc w:val="left"/>
    </w:lvl>
  </w:abstractNum>
  <w:abstractNum w:abstractNumId="35" w15:restartNumberingAfterBreak="0">
    <w:nsid w:val="43C76691"/>
    <w:multiLevelType w:val="hybridMultilevel"/>
    <w:tmpl w:val="476EB996"/>
    <w:lvl w:ilvl="0" w:tplc="26923AB6">
      <w:start w:val="1"/>
      <w:numFmt w:val="bullet"/>
      <w:lvlText w:val=""/>
      <w:lvlJc w:val="left"/>
      <w:pPr>
        <w:tabs>
          <w:tab w:val="num" w:pos="1080"/>
        </w:tabs>
        <w:ind w:left="720" w:hanging="360"/>
      </w:pPr>
      <w:rPr>
        <w:rFonts w:ascii="Symbol" w:hAnsi="Symbol" w:hint="default"/>
      </w:rPr>
    </w:lvl>
    <w:lvl w:ilvl="1" w:tplc="B17EB104">
      <w:numFmt w:val="decimal"/>
      <w:lvlText w:val=""/>
      <w:lvlJc w:val="left"/>
    </w:lvl>
    <w:lvl w:ilvl="2" w:tplc="9B9AE244">
      <w:numFmt w:val="decimal"/>
      <w:lvlText w:val=""/>
      <w:lvlJc w:val="left"/>
    </w:lvl>
    <w:lvl w:ilvl="3" w:tplc="DD3CCA06">
      <w:numFmt w:val="decimal"/>
      <w:lvlText w:val=""/>
      <w:lvlJc w:val="left"/>
    </w:lvl>
    <w:lvl w:ilvl="4" w:tplc="04C09AFE">
      <w:numFmt w:val="decimal"/>
      <w:lvlText w:val=""/>
      <w:lvlJc w:val="left"/>
    </w:lvl>
    <w:lvl w:ilvl="5" w:tplc="9CF04E9E">
      <w:numFmt w:val="decimal"/>
      <w:lvlText w:val=""/>
      <w:lvlJc w:val="left"/>
    </w:lvl>
    <w:lvl w:ilvl="6" w:tplc="9D5AFE74">
      <w:numFmt w:val="decimal"/>
      <w:lvlText w:val=""/>
      <w:lvlJc w:val="left"/>
    </w:lvl>
    <w:lvl w:ilvl="7" w:tplc="416057CA">
      <w:numFmt w:val="decimal"/>
      <w:lvlText w:val=""/>
      <w:lvlJc w:val="left"/>
    </w:lvl>
    <w:lvl w:ilvl="8" w:tplc="426A3A42">
      <w:numFmt w:val="decimal"/>
      <w:lvlText w:val=""/>
      <w:lvlJc w:val="left"/>
    </w:lvl>
  </w:abstractNum>
  <w:abstractNum w:abstractNumId="36" w15:restartNumberingAfterBreak="0">
    <w:nsid w:val="43FE19AA"/>
    <w:multiLevelType w:val="hybridMultilevel"/>
    <w:tmpl w:val="A7168D6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7EC6F84"/>
    <w:multiLevelType w:val="multilevel"/>
    <w:tmpl w:val="DA86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EB0C69"/>
    <w:multiLevelType w:val="hybridMultilevel"/>
    <w:tmpl w:val="AAC8696A"/>
    <w:lvl w:ilvl="0" w:tplc="A03A7A10">
      <w:start w:val="1"/>
      <w:numFmt w:val="bullet"/>
      <w:lvlText w:val=""/>
      <w:lvlJc w:val="left"/>
      <w:pPr>
        <w:tabs>
          <w:tab w:val="num" w:pos="1080"/>
        </w:tabs>
        <w:ind w:left="720" w:hanging="360"/>
      </w:pPr>
      <w:rPr>
        <w:rFonts w:ascii="Symbol" w:hAnsi="Symbol" w:hint="default"/>
      </w:rPr>
    </w:lvl>
    <w:lvl w:ilvl="1" w:tplc="50D459CA">
      <w:numFmt w:val="decimal"/>
      <w:lvlText w:val=""/>
      <w:lvlJc w:val="left"/>
    </w:lvl>
    <w:lvl w:ilvl="2" w:tplc="31A27294">
      <w:numFmt w:val="decimal"/>
      <w:lvlText w:val=""/>
      <w:lvlJc w:val="left"/>
    </w:lvl>
    <w:lvl w:ilvl="3" w:tplc="1688B64E">
      <w:numFmt w:val="decimal"/>
      <w:lvlText w:val=""/>
      <w:lvlJc w:val="left"/>
    </w:lvl>
    <w:lvl w:ilvl="4" w:tplc="5C1650E2">
      <w:numFmt w:val="decimal"/>
      <w:lvlText w:val=""/>
      <w:lvlJc w:val="left"/>
    </w:lvl>
    <w:lvl w:ilvl="5" w:tplc="6D02600C">
      <w:numFmt w:val="decimal"/>
      <w:lvlText w:val=""/>
      <w:lvlJc w:val="left"/>
    </w:lvl>
    <w:lvl w:ilvl="6" w:tplc="1E226E52">
      <w:numFmt w:val="decimal"/>
      <w:lvlText w:val=""/>
      <w:lvlJc w:val="left"/>
    </w:lvl>
    <w:lvl w:ilvl="7" w:tplc="CEC88E24">
      <w:numFmt w:val="decimal"/>
      <w:lvlText w:val=""/>
      <w:lvlJc w:val="left"/>
    </w:lvl>
    <w:lvl w:ilvl="8" w:tplc="760AD1F4">
      <w:numFmt w:val="decimal"/>
      <w:lvlText w:val=""/>
      <w:lvlJc w:val="left"/>
    </w:lvl>
  </w:abstractNum>
  <w:abstractNum w:abstractNumId="39" w15:restartNumberingAfterBreak="0">
    <w:nsid w:val="4AE91791"/>
    <w:multiLevelType w:val="hybridMultilevel"/>
    <w:tmpl w:val="70249E66"/>
    <w:lvl w:ilvl="0" w:tplc="27DEC71E">
      <w:start w:val="1"/>
      <w:numFmt w:val="bullet"/>
      <w:lvlText w:val=""/>
      <w:lvlJc w:val="left"/>
      <w:pPr>
        <w:tabs>
          <w:tab w:val="num" w:pos="1080"/>
        </w:tabs>
        <w:ind w:left="720" w:hanging="360"/>
      </w:pPr>
      <w:rPr>
        <w:rFonts w:ascii="Symbol" w:hAnsi="Symbol" w:hint="default"/>
      </w:rPr>
    </w:lvl>
    <w:lvl w:ilvl="1" w:tplc="66A8BA34">
      <w:numFmt w:val="decimal"/>
      <w:lvlText w:val=""/>
      <w:lvlJc w:val="left"/>
    </w:lvl>
    <w:lvl w:ilvl="2" w:tplc="D7509852">
      <w:numFmt w:val="decimal"/>
      <w:lvlText w:val=""/>
      <w:lvlJc w:val="left"/>
    </w:lvl>
    <w:lvl w:ilvl="3" w:tplc="20A601E0">
      <w:numFmt w:val="decimal"/>
      <w:lvlText w:val=""/>
      <w:lvlJc w:val="left"/>
    </w:lvl>
    <w:lvl w:ilvl="4" w:tplc="27D80FEA">
      <w:numFmt w:val="decimal"/>
      <w:lvlText w:val=""/>
      <w:lvlJc w:val="left"/>
    </w:lvl>
    <w:lvl w:ilvl="5" w:tplc="EC14795E">
      <w:numFmt w:val="decimal"/>
      <w:lvlText w:val=""/>
      <w:lvlJc w:val="left"/>
    </w:lvl>
    <w:lvl w:ilvl="6" w:tplc="86480444">
      <w:numFmt w:val="decimal"/>
      <w:lvlText w:val=""/>
      <w:lvlJc w:val="left"/>
    </w:lvl>
    <w:lvl w:ilvl="7" w:tplc="F08A9BBE">
      <w:numFmt w:val="decimal"/>
      <w:lvlText w:val=""/>
      <w:lvlJc w:val="left"/>
    </w:lvl>
    <w:lvl w:ilvl="8" w:tplc="522AAEFC">
      <w:numFmt w:val="decimal"/>
      <w:lvlText w:val=""/>
      <w:lvlJc w:val="left"/>
    </w:lvl>
  </w:abstractNum>
  <w:abstractNum w:abstractNumId="40" w15:restartNumberingAfterBreak="0">
    <w:nsid w:val="4AF85440"/>
    <w:multiLevelType w:val="hybridMultilevel"/>
    <w:tmpl w:val="B2CE0904"/>
    <w:lvl w:ilvl="0" w:tplc="50321B3A">
      <w:start w:val="1"/>
      <w:numFmt w:val="bullet"/>
      <w:lvlText w:val=""/>
      <w:lvlJc w:val="left"/>
      <w:pPr>
        <w:tabs>
          <w:tab w:val="num" w:pos="1080"/>
        </w:tabs>
        <w:ind w:left="720" w:hanging="360"/>
      </w:pPr>
      <w:rPr>
        <w:rFonts w:ascii="Symbol" w:hAnsi="Symbol" w:hint="default"/>
      </w:rPr>
    </w:lvl>
    <w:lvl w:ilvl="1" w:tplc="F242870C">
      <w:numFmt w:val="decimal"/>
      <w:lvlText w:val=""/>
      <w:lvlJc w:val="left"/>
    </w:lvl>
    <w:lvl w:ilvl="2" w:tplc="669286CC">
      <w:numFmt w:val="decimal"/>
      <w:lvlText w:val=""/>
      <w:lvlJc w:val="left"/>
    </w:lvl>
    <w:lvl w:ilvl="3" w:tplc="E6783462">
      <w:numFmt w:val="decimal"/>
      <w:lvlText w:val=""/>
      <w:lvlJc w:val="left"/>
    </w:lvl>
    <w:lvl w:ilvl="4" w:tplc="FC6C4822">
      <w:numFmt w:val="decimal"/>
      <w:lvlText w:val=""/>
      <w:lvlJc w:val="left"/>
    </w:lvl>
    <w:lvl w:ilvl="5" w:tplc="9CB453EE">
      <w:numFmt w:val="decimal"/>
      <w:lvlText w:val=""/>
      <w:lvlJc w:val="left"/>
    </w:lvl>
    <w:lvl w:ilvl="6" w:tplc="4EF0DE74">
      <w:numFmt w:val="decimal"/>
      <w:lvlText w:val=""/>
      <w:lvlJc w:val="left"/>
    </w:lvl>
    <w:lvl w:ilvl="7" w:tplc="9412F30A">
      <w:numFmt w:val="decimal"/>
      <w:lvlText w:val=""/>
      <w:lvlJc w:val="left"/>
    </w:lvl>
    <w:lvl w:ilvl="8" w:tplc="5C3CEE32">
      <w:numFmt w:val="decimal"/>
      <w:lvlText w:val=""/>
      <w:lvlJc w:val="left"/>
    </w:lvl>
  </w:abstractNum>
  <w:abstractNum w:abstractNumId="41" w15:restartNumberingAfterBreak="0">
    <w:nsid w:val="4B0A7608"/>
    <w:multiLevelType w:val="hybridMultilevel"/>
    <w:tmpl w:val="D5083D18"/>
    <w:lvl w:ilvl="0" w:tplc="4AF896FC">
      <w:start w:val="1"/>
      <w:numFmt w:val="bullet"/>
      <w:lvlText w:val=""/>
      <w:lvlJc w:val="left"/>
      <w:pPr>
        <w:tabs>
          <w:tab w:val="num" w:pos="1080"/>
        </w:tabs>
        <w:ind w:left="720" w:hanging="360"/>
      </w:pPr>
      <w:rPr>
        <w:rFonts w:ascii="Symbol" w:hAnsi="Symbol" w:hint="default"/>
      </w:rPr>
    </w:lvl>
    <w:lvl w:ilvl="1" w:tplc="EF7E5952">
      <w:numFmt w:val="decimal"/>
      <w:lvlText w:val=""/>
      <w:lvlJc w:val="left"/>
    </w:lvl>
    <w:lvl w:ilvl="2" w:tplc="0D4A2866">
      <w:numFmt w:val="decimal"/>
      <w:lvlText w:val=""/>
      <w:lvlJc w:val="left"/>
    </w:lvl>
    <w:lvl w:ilvl="3" w:tplc="4A8C499E">
      <w:numFmt w:val="decimal"/>
      <w:lvlText w:val=""/>
      <w:lvlJc w:val="left"/>
    </w:lvl>
    <w:lvl w:ilvl="4" w:tplc="9E06B98E">
      <w:numFmt w:val="decimal"/>
      <w:lvlText w:val=""/>
      <w:lvlJc w:val="left"/>
    </w:lvl>
    <w:lvl w:ilvl="5" w:tplc="0532A8EE">
      <w:numFmt w:val="decimal"/>
      <w:lvlText w:val=""/>
      <w:lvlJc w:val="left"/>
    </w:lvl>
    <w:lvl w:ilvl="6" w:tplc="27C651DC">
      <w:numFmt w:val="decimal"/>
      <w:lvlText w:val=""/>
      <w:lvlJc w:val="left"/>
    </w:lvl>
    <w:lvl w:ilvl="7" w:tplc="F16A376A">
      <w:numFmt w:val="decimal"/>
      <w:lvlText w:val=""/>
      <w:lvlJc w:val="left"/>
    </w:lvl>
    <w:lvl w:ilvl="8" w:tplc="6BF40F3E">
      <w:numFmt w:val="decimal"/>
      <w:lvlText w:val=""/>
      <w:lvlJc w:val="left"/>
    </w:lvl>
  </w:abstractNum>
  <w:abstractNum w:abstractNumId="42" w15:restartNumberingAfterBreak="0">
    <w:nsid w:val="4B3F7863"/>
    <w:multiLevelType w:val="hybridMultilevel"/>
    <w:tmpl w:val="964AFF4E"/>
    <w:lvl w:ilvl="0" w:tplc="0AD6FA0C">
      <w:start w:val="1"/>
      <w:numFmt w:val="bullet"/>
      <w:lvlText w:val=""/>
      <w:lvlJc w:val="left"/>
      <w:pPr>
        <w:tabs>
          <w:tab w:val="num" w:pos="1080"/>
        </w:tabs>
        <w:ind w:left="720" w:hanging="360"/>
      </w:pPr>
      <w:rPr>
        <w:rFonts w:ascii="Symbol" w:hAnsi="Symbol" w:hint="default"/>
      </w:rPr>
    </w:lvl>
    <w:lvl w:ilvl="1" w:tplc="57E8DD9C">
      <w:numFmt w:val="decimal"/>
      <w:lvlText w:val=""/>
      <w:lvlJc w:val="left"/>
    </w:lvl>
    <w:lvl w:ilvl="2" w:tplc="657011EE">
      <w:numFmt w:val="decimal"/>
      <w:lvlText w:val=""/>
      <w:lvlJc w:val="left"/>
    </w:lvl>
    <w:lvl w:ilvl="3" w:tplc="32240560">
      <w:numFmt w:val="decimal"/>
      <w:lvlText w:val=""/>
      <w:lvlJc w:val="left"/>
    </w:lvl>
    <w:lvl w:ilvl="4" w:tplc="9E6CFF76">
      <w:numFmt w:val="decimal"/>
      <w:lvlText w:val=""/>
      <w:lvlJc w:val="left"/>
    </w:lvl>
    <w:lvl w:ilvl="5" w:tplc="E4B0CBF0">
      <w:numFmt w:val="decimal"/>
      <w:lvlText w:val=""/>
      <w:lvlJc w:val="left"/>
    </w:lvl>
    <w:lvl w:ilvl="6" w:tplc="3CB8C378">
      <w:numFmt w:val="decimal"/>
      <w:lvlText w:val=""/>
      <w:lvlJc w:val="left"/>
    </w:lvl>
    <w:lvl w:ilvl="7" w:tplc="64545084">
      <w:numFmt w:val="decimal"/>
      <w:lvlText w:val=""/>
      <w:lvlJc w:val="left"/>
    </w:lvl>
    <w:lvl w:ilvl="8" w:tplc="4E34B462">
      <w:numFmt w:val="decimal"/>
      <w:lvlText w:val=""/>
      <w:lvlJc w:val="left"/>
    </w:lvl>
  </w:abstractNum>
  <w:abstractNum w:abstractNumId="43" w15:restartNumberingAfterBreak="0">
    <w:nsid w:val="4B8F6632"/>
    <w:multiLevelType w:val="multilevel"/>
    <w:tmpl w:val="AF36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BC51657"/>
    <w:multiLevelType w:val="hybridMultilevel"/>
    <w:tmpl w:val="91D8A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536400A"/>
    <w:multiLevelType w:val="hybridMultilevel"/>
    <w:tmpl w:val="1E040654"/>
    <w:lvl w:ilvl="0" w:tplc="27C4F2AC">
      <w:start w:val="1"/>
      <w:numFmt w:val="bullet"/>
      <w:lvlText w:val=""/>
      <w:lvlJc w:val="left"/>
      <w:pPr>
        <w:tabs>
          <w:tab w:val="num" w:pos="1080"/>
        </w:tabs>
        <w:ind w:left="720" w:hanging="360"/>
      </w:pPr>
      <w:rPr>
        <w:rFonts w:ascii="Symbol" w:hAnsi="Symbol" w:hint="default"/>
      </w:rPr>
    </w:lvl>
    <w:lvl w:ilvl="1" w:tplc="42DC7584">
      <w:numFmt w:val="decimal"/>
      <w:lvlText w:val=""/>
      <w:lvlJc w:val="left"/>
    </w:lvl>
    <w:lvl w:ilvl="2" w:tplc="B9B2960A">
      <w:numFmt w:val="decimal"/>
      <w:lvlText w:val=""/>
      <w:lvlJc w:val="left"/>
    </w:lvl>
    <w:lvl w:ilvl="3" w:tplc="ACAA6F60">
      <w:numFmt w:val="decimal"/>
      <w:lvlText w:val=""/>
      <w:lvlJc w:val="left"/>
    </w:lvl>
    <w:lvl w:ilvl="4" w:tplc="4EC06BE2">
      <w:numFmt w:val="decimal"/>
      <w:lvlText w:val=""/>
      <w:lvlJc w:val="left"/>
    </w:lvl>
    <w:lvl w:ilvl="5" w:tplc="37BEE7D8">
      <w:numFmt w:val="decimal"/>
      <w:lvlText w:val=""/>
      <w:lvlJc w:val="left"/>
    </w:lvl>
    <w:lvl w:ilvl="6" w:tplc="EE3ABDDE">
      <w:numFmt w:val="decimal"/>
      <w:lvlText w:val=""/>
      <w:lvlJc w:val="left"/>
    </w:lvl>
    <w:lvl w:ilvl="7" w:tplc="9BD844CE">
      <w:numFmt w:val="decimal"/>
      <w:lvlText w:val=""/>
      <w:lvlJc w:val="left"/>
    </w:lvl>
    <w:lvl w:ilvl="8" w:tplc="0FF0BF32">
      <w:numFmt w:val="decimal"/>
      <w:lvlText w:val=""/>
      <w:lvlJc w:val="left"/>
    </w:lvl>
  </w:abstractNum>
  <w:abstractNum w:abstractNumId="46" w15:restartNumberingAfterBreak="0">
    <w:nsid w:val="56B054F9"/>
    <w:multiLevelType w:val="hybridMultilevel"/>
    <w:tmpl w:val="3064C8EC"/>
    <w:lvl w:ilvl="0" w:tplc="946A342A">
      <w:start w:val="1"/>
      <w:numFmt w:val="bullet"/>
      <w:lvlText w:val=""/>
      <w:lvlJc w:val="left"/>
      <w:pPr>
        <w:tabs>
          <w:tab w:val="num" w:pos="1080"/>
        </w:tabs>
        <w:ind w:left="720" w:hanging="360"/>
      </w:pPr>
      <w:rPr>
        <w:rFonts w:ascii="Symbol" w:hAnsi="Symbol" w:hint="default"/>
      </w:rPr>
    </w:lvl>
    <w:lvl w:ilvl="1" w:tplc="869A3BFA">
      <w:numFmt w:val="decimal"/>
      <w:lvlText w:val=""/>
      <w:lvlJc w:val="left"/>
    </w:lvl>
    <w:lvl w:ilvl="2" w:tplc="5D1A13E8">
      <w:numFmt w:val="decimal"/>
      <w:lvlText w:val=""/>
      <w:lvlJc w:val="left"/>
    </w:lvl>
    <w:lvl w:ilvl="3" w:tplc="F03A675C">
      <w:numFmt w:val="decimal"/>
      <w:lvlText w:val=""/>
      <w:lvlJc w:val="left"/>
    </w:lvl>
    <w:lvl w:ilvl="4" w:tplc="A75867AE">
      <w:numFmt w:val="decimal"/>
      <w:lvlText w:val=""/>
      <w:lvlJc w:val="left"/>
    </w:lvl>
    <w:lvl w:ilvl="5" w:tplc="F0FC9BDE">
      <w:numFmt w:val="decimal"/>
      <w:lvlText w:val=""/>
      <w:lvlJc w:val="left"/>
    </w:lvl>
    <w:lvl w:ilvl="6" w:tplc="0082E75E">
      <w:numFmt w:val="decimal"/>
      <w:lvlText w:val=""/>
      <w:lvlJc w:val="left"/>
    </w:lvl>
    <w:lvl w:ilvl="7" w:tplc="A2566F90">
      <w:numFmt w:val="decimal"/>
      <w:lvlText w:val=""/>
      <w:lvlJc w:val="left"/>
    </w:lvl>
    <w:lvl w:ilvl="8" w:tplc="63029E04">
      <w:numFmt w:val="decimal"/>
      <w:lvlText w:val=""/>
      <w:lvlJc w:val="left"/>
    </w:lvl>
  </w:abstractNum>
  <w:abstractNum w:abstractNumId="47" w15:restartNumberingAfterBreak="0">
    <w:nsid w:val="59001F65"/>
    <w:multiLevelType w:val="hybridMultilevel"/>
    <w:tmpl w:val="14C2BBD4"/>
    <w:lvl w:ilvl="0" w:tplc="68448B46">
      <w:start w:val="1"/>
      <w:numFmt w:val="none"/>
      <w:lvlText w:val="•"/>
      <w:lvlJc w:val="left"/>
      <w:pPr>
        <w:tabs>
          <w:tab w:val="num" w:pos="1080"/>
        </w:tabs>
        <w:ind w:left="720" w:hanging="360"/>
      </w:pPr>
      <w:rPr>
        <w:rFonts w:hint="default"/>
      </w:rPr>
    </w:lvl>
    <w:lvl w:ilvl="1" w:tplc="6CEE8962">
      <w:numFmt w:val="decimal"/>
      <w:lvlText w:val=""/>
      <w:lvlJc w:val="left"/>
    </w:lvl>
    <w:lvl w:ilvl="2" w:tplc="F57C2F40">
      <w:numFmt w:val="decimal"/>
      <w:lvlText w:val=""/>
      <w:lvlJc w:val="left"/>
    </w:lvl>
    <w:lvl w:ilvl="3" w:tplc="091CF5D0">
      <w:numFmt w:val="decimal"/>
      <w:lvlText w:val=""/>
      <w:lvlJc w:val="left"/>
    </w:lvl>
    <w:lvl w:ilvl="4" w:tplc="D2EE6B72">
      <w:numFmt w:val="decimal"/>
      <w:lvlText w:val=""/>
      <w:lvlJc w:val="left"/>
    </w:lvl>
    <w:lvl w:ilvl="5" w:tplc="9224FCAC">
      <w:numFmt w:val="decimal"/>
      <w:lvlText w:val=""/>
      <w:lvlJc w:val="left"/>
    </w:lvl>
    <w:lvl w:ilvl="6" w:tplc="1BB44224">
      <w:numFmt w:val="decimal"/>
      <w:lvlText w:val=""/>
      <w:lvlJc w:val="left"/>
    </w:lvl>
    <w:lvl w:ilvl="7" w:tplc="BB727C60">
      <w:numFmt w:val="decimal"/>
      <w:lvlText w:val=""/>
      <w:lvlJc w:val="left"/>
    </w:lvl>
    <w:lvl w:ilvl="8" w:tplc="0B1A3B26">
      <w:numFmt w:val="decimal"/>
      <w:lvlText w:val=""/>
      <w:lvlJc w:val="left"/>
    </w:lvl>
  </w:abstractNum>
  <w:abstractNum w:abstractNumId="48" w15:restartNumberingAfterBreak="0">
    <w:nsid w:val="5B0A4F9E"/>
    <w:multiLevelType w:val="hybridMultilevel"/>
    <w:tmpl w:val="5E741F80"/>
    <w:lvl w:ilvl="0" w:tplc="D62AB452">
      <w:start w:val="1"/>
      <w:numFmt w:val="decimal"/>
      <w:lvlText w:val="%1."/>
      <w:lvlJc w:val="left"/>
      <w:pPr>
        <w:tabs>
          <w:tab w:val="num" w:pos="1080"/>
        </w:tabs>
        <w:ind w:left="720" w:hanging="360"/>
      </w:pPr>
    </w:lvl>
    <w:lvl w:ilvl="1" w:tplc="346A26E4">
      <w:numFmt w:val="decimal"/>
      <w:lvlText w:val=""/>
      <w:lvlJc w:val="left"/>
    </w:lvl>
    <w:lvl w:ilvl="2" w:tplc="4816FD58">
      <w:numFmt w:val="decimal"/>
      <w:lvlText w:val=""/>
      <w:lvlJc w:val="left"/>
    </w:lvl>
    <w:lvl w:ilvl="3" w:tplc="B1A801C2">
      <w:numFmt w:val="decimal"/>
      <w:lvlText w:val=""/>
      <w:lvlJc w:val="left"/>
    </w:lvl>
    <w:lvl w:ilvl="4" w:tplc="C77C6E72">
      <w:numFmt w:val="decimal"/>
      <w:lvlText w:val=""/>
      <w:lvlJc w:val="left"/>
    </w:lvl>
    <w:lvl w:ilvl="5" w:tplc="89004F86">
      <w:numFmt w:val="decimal"/>
      <w:lvlText w:val=""/>
      <w:lvlJc w:val="left"/>
    </w:lvl>
    <w:lvl w:ilvl="6" w:tplc="2C506F46">
      <w:numFmt w:val="decimal"/>
      <w:lvlText w:val=""/>
      <w:lvlJc w:val="left"/>
    </w:lvl>
    <w:lvl w:ilvl="7" w:tplc="37D2FEA6">
      <w:numFmt w:val="decimal"/>
      <w:lvlText w:val=""/>
      <w:lvlJc w:val="left"/>
    </w:lvl>
    <w:lvl w:ilvl="8" w:tplc="DA404218">
      <w:numFmt w:val="decimal"/>
      <w:lvlText w:val=""/>
      <w:lvlJc w:val="left"/>
    </w:lvl>
  </w:abstractNum>
  <w:abstractNum w:abstractNumId="49" w15:restartNumberingAfterBreak="0">
    <w:nsid w:val="5B8540E7"/>
    <w:multiLevelType w:val="hybridMultilevel"/>
    <w:tmpl w:val="1D7EF59C"/>
    <w:lvl w:ilvl="0" w:tplc="0D5CEE06">
      <w:start w:val="1"/>
      <w:numFmt w:val="bullet"/>
      <w:lvlText w:val=""/>
      <w:lvlJc w:val="left"/>
      <w:pPr>
        <w:tabs>
          <w:tab w:val="num" w:pos="1080"/>
        </w:tabs>
        <w:ind w:left="720" w:hanging="360"/>
      </w:pPr>
      <w:rPr>
        <w:rFonts w:ascii="Symbol" w:hAnsi="Symbol" w:hint="default"/>
      </w:rPr>
    </w:lvl>
    <w:lvl w:ilvl="1" w:tplc="01D4A3E0">
      <w:numFmt w:val="decimal"/>
      <w:lvlText w:val=""/>
      <w:lvlJc w:val="left"/>
    </w:lvl>
    <w:lvl w:ilvl="2" w:tplc="60249CE0">
      <w:numFmt w:val="decimal"/>
      <w:lvlText w:val=""/>
      <w:lvlJc w:val="left"/>
    </w:lvl>
    <w:lvl w:ilvl="3" w:tplc="B53A1E62">
      <w:numFmt w:val="decimal"/>
      <w:lvlText w:val=""/>
      <w:lvlJc w:val="left"/>
    </w:lvl>
    <w:lvl w:ilvl="4" w:tplc="037ACAF8">
      <w:numFmt w:val="decimal"/>
      <w:lvlText w:val=""/>
      <w:lvlJc w:val="left"/>
    </w:lvl>
    <w:lvl w:ilvl="5" w:tplc="1108E224">
      <w:numFmt w:val="decimal"/>
      <w:lvlText w:val=""/>
      <w:lvlJc w:val="left"/>
    </w:lvl>
    <w:lvl w:ilvl="6" w:tplc="12E05F58">
      <w:numFmt w:val="decimal"/>
      <w:lvlText w:val=""/>
      <w:lvlJc w:val="left"/>
    </w:lvl>
    <w:lvl w:ilvl="7" w:tplc="1462762C">
      <w:numFmt w:val="decimal"/>
      <w:lvlText w:val=""/>
      <w:lvlJc w:val="left"/>
    </w:lvl>
    <w:lvl w:ilvl="8" w:tplc="DA14CA06">
      <w:numFmt w:val="decimal"/>
      <w:lvlText w:val=""/>
      <w:lvlJc w:val="left"/>
    </w:lvl>
  </w:abstractNum>
  <w:abstractNum w:abstractNumId="50" w15:restartNumberingAfterBreak="0">
    <w:nsid w:val="5B8715E8"/>
    <w:multiLevelType w:val="hybridMultilevel"/>
    <w:tmpl w:val="12640D1A"/>
    <w:lvl w:ilvl="0" w:tplc="FC062C64">
      <w:start w:val="1"/>
      <w:numFmt w:val="bullet"/>
      <w:lvlText w:val=""/>
      <w:lvlJc w:val="left"/>
      <w:pPr>
        <w:tabs>
          <w:tab w:val="num" w:pos="1080"/>
        </w:tabs>
        <w:ind w:left="720" w:hanging="360"/>
      </w:pPr>
      <w:rPr>
        <w:rFonts w:ascii="Symbol" w:hAnsi="Symbol" w:hint="default"/>
      </w:rPr>
    </w:lvl>
    <w:lvl w:ilvl="1" w:tplc="76481AEA">
      <w:numFmt w:val="decimal"/>
      <w:lvlText w:val=""/>
      <w:lvlJc w:val="left"/>
    </w:lvl>
    <w:lvl w:ilvl="2" w:tplc="F4202E7A">
      <w:numFmt w:val="decimal"/>
      <w:lvlText w:val=""/>
      <w:lvlJc w:val="left"/>
    </w:lvl>
    <w:lvl w:ilvl="3" w:tplc="63D4201A">
      <w:numFmt w:val="decimal"/>
      <w:lvlText w:val=""/>
      <w:lvlJc w:val="left"/>
    </w:lvl>
    <w:lvl w:ilvl="4" w:tplc="CDDC231A">
      <w:numFmt w:val="decimal"/>
      <w:lvlText w:val=""/>
      <w:lvlJc w:val="left"/>
    </w:lvl>
    <w:lvl w:ilvl="5" w:tplc="12E2B3E8">
      <w:numFmt w:val="decimal"/>
      <w:lvlText w:val=""/>
      <w:lvlJc w:val="left"/>
    </w:lvl>
    <w:lvl w:ilvl="6" w:tplc="522CECE2">
      <w:numFmt w:val="decimal"/>
      <w:lvlText w:val=""/>
      <w:lvlJc w:val="left"/>
    </w:lvl>
    <w:lvl w:ilvl="7" w:tplc="3E7EEEB2">
      <w:numFmt w:val="decimal"/>
      <w:lvlText w:val=""/>
      <w:lvlJc w:val="left"/>
    </w:lvl>
    <w:lvl w:ilvl="8" w:tplc="EBFCC278">
      <w:numFmt w:val="decimal"/>
      <w:lvlText w:val=""/>
      <w:lvlJc w:val="left"/>
    </w:lvl>
  </w:abstractNum>
  <w:abstractNum w:abstractNumId="51" w15:restartNumberingAfterBreak="0">
    <w:nsid w:val="61774F24"/>
    <w:multiLevelType w:val="multilevel"/>
    <w:tmpl w:val="C0D0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EB3E5B"/>
    <w:multiLevelType w:val="hybridMultilevel"/>
    <w:tmpl w:val="DF8EE584"/>
    <w:lvl w:ilvl="0" w:tplc="A756347C">
      <w:start w:val="1"/>
      <w:numFmt w:val="bullet"/>
      <w:lvlText w:val=""/>
      <w:lvlJc w:val="left"/>
      <w:pPr>
        <w:tabs>
          <w:tab w:val="num" w:pos="1080"/>
        </w:tabs>
        <w:ind w:left="720" w:hanging="360"/>
      </w:pPr>
      <w:rPr>
        <w:rFonts w:ascii="Symbol" w:hAnsi="Symbol" w:hint="default"/>
      </w:rPr>
    </w:lvl>
    <w:lvl w:ilvl="1" w:tplc="CF1AAB28">
      <w:numFmt w:val="decimal"/>
      <w:lvlText w:val=""/>
      <w:lvlJc w:val="left"/>
    </w:lvl>
    <w:lvl w:ilvl="2" w:tplc="A6C4203C">
      <w:numFmt w:val="decimal"/>
      <w:lvlText w:val=""/>
      <w:lvlJc w:val="left"/>
    </w:lvl>
    <w:lvl w:ilvl="3" w:tplc="FE2A30CE">
      <w:numFmt w:val="decimal"/>
      <w:lvlText w:val=""/>
      <w:lvlJc w:val="left"/>
    </w:lvl>
    <w:lvl w:ilvl="4" w:tplc="D032C3B6">
      <w:numFmt w:val="decimal"/>
      <w:lvlText w:val=""/>
      <w:lvlJc w:val="left"/>
    </w:lvl>
    <w:lvl w:ilvl="5" w:tplc="B1CEAAB2">
      <w:numFmt w:val="decimal"/>
      <w:lvlText w:val=""/>
      <w:lvlJc w:val="left"/>
    </w:lvl>
    <w:lvl w:ilvl="6" w:tplc="F934074A">
      <w:numFmt w:val="decimal"/>
      <w:lvlText w:val=""/>
      <w:lvlJc w:val="left"/>
    </w:lvl>
    <w:lvl w:ilvl="7" w:tplc="EDFEBA14">
      <w:numFmt w:val="decimal"/>
      <w:lvlText w:val=""/>
      <w:lvlJc w:val="left"/>
    </w:lvl>
    <w:lvl w:ilvl="8" w:tplc="361C4E82">
      <w:numFmt w:val="decimal"/>
      <w:lvlText w:val=""/>
      <w:lvlJc w:val="left"/>
    </w:lvl>
  </w:abstractNum>
  <w:abstractNum w:abstractNumId="53" w15:restartNumberingAfterBreak="0">
    <w:nsid w:val="63B27672"/>
    <w:multiLevelType w:val="hybridMultilevel"/>
    <w:tmpl w:val="A042ADCA"/>
    <w:lvl w:ilvl="0" w:tplc="903CC16C">
      <w:start w:val="1"/>
      <w:numFmt w:val="none"/>
      <w:lvlText w:val="•"/>
      <w:lvlJc w:val="left"/>
      <w:pPr>
        <w:tabs>
          <w:tab w:val="num" w:pos="1080"/>
        </w:tabs>
        <w:ind w:left="720" w:hanging="360"/>
      </w:pPr>
      <w:rPr>
        <w:rFonts w:hint="default"/>
      </w:rPr>
    </w:lvl>
    <w:lvl w:ilvl="1" w:tplc="041C0120">
      <w:numFmt w:val="decimal"/>
      <w:lvlText w:val=""/>
      <w:lvlJc w:val="left"/>
    </w:lvl>
    <w:lvl w:ilvl="2" w:tplc="A3D0FB86">
      <w:numFmt w:val="decimal"/>
      <w:lvlText w:val=""/>
      <w:lvlJc w:val="left"/>
    </w:lvl>
    <w:lvl w:ilvl="3" w:tplc="09CAE910">
      <w:numFmt w:val="decimal"/>
      <w:lvlText w:val=""/>
      <w:lvlJc w:val="left"/>
    </w:lvl>
    <w:lvl w:ilvl="4" w:tplc="B81EE246">
      <w:numFmt w:val="decimal"/>
      <w:lvlText w:val=""/>
      <w:lvlJc w:val="left"/>
    </w:lvl>
    <w:lvl w:ilvl="5" w:tplc="20A85028">
      <w:numFmt w:val="decimal"/>
      <w:lvlText w:val=""/>
      <w:lvlJc w:val="left"/>
    </w:lvl>
    <w:lvl w:ilvl="6" w:tplc="648269AA">
      <w:numFmt w:val="decimal"/>
      <w:lvlText w:val=""/>
      <w:lvlJc w:val="left"/>
    </w:lvl>
    <w:lvl w:ilvl="7" w:tplc="1B6C730E">
      <w:numFmt w:val="decimal"/>
      <w:lvlText w:val=""/>
      <w:lvlJc w:val="left"/>
    </w:lvl>
    <w:lvl w:ilvl="8" w:tplc="809A37A4">
      <w:numFmt w:val="decimal"/>
      <w:lvlText w:val=""/>
      <w:lvlJc w:val="left"/>
    </w:lvl>
  </w:abstractNum>
  <w:abstractNum w:abstractNumId="54" w15:restartNumberingAfterBreak="0">
    <w:nsid w:val="67E919EC"/>
    <w:multiLevelType w:val="hybridMultilevel"/>
    <w:tmpl w:val="906291DA"/>
    <w:lvl w:ilvl="0" w:tplc="D17C336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3E5762"/>
    <w:multiLevelType w:val="hybridMultilevel"/>
    <w:tmpl w:val="46467944"/>
    <w:lvl w:ilvl="0" w:tplc="B99E6162">
      <w:start w:val="1"/>
      <w:numFmt w:val="bullet"/>
      <w:lvlText w:val=""/>
      <w:lvlJc w:val="left"/>
      <w:pPr>
        <w:tabs>
          <w:tab w:val="num" w:pos="1080"/>
        </w:tabs>
        <w:ind w:left="720" w:hanging="360"/>
      </w:pPr>
      <w:rPr>
        <w:rFonts w:ascii="Symbol" w:hAnsi="Symbol" w:hint="default"/>
      </w:rPr>
    </w:lvl>
    <w:lvl w:ilvl="1" w:tplc="5A0E3588">
      <w:numFmt w:val="decimal"/>
      <w:lvlText w:val=""/>
      <w:lvlJc w:val="left"/>
    </w:lvl>
    <w:lvl w:ilvl="2" w:tplc="25E064E0">
      <w:numFmt w:val="decimal"/>
      <w:lvlText w:val=""/>
      <w:lvlJc w:val="left"/>
    </w:lvl>
    <w:lvl w:ilvl="3" w:tplc="6E841D5C">
      <w:numFmt w:val="decimal"/>
      <w:lvlText w:val=""/>
      <w:lvlJc w:val="left"/>
    </w:lvl>
    <w:lvl w:ilvl="4" w:tplc="C826ED70">
      <w:numFmt w:val="decimal"/>
      <w:lvlText w:val=""/>
      <w:lvlJc w:val="left"/>
    </w:lvl>
    <w:lvl w:ilvl="5" w:tplc="8B14299E">
      <w:numFmt w:val="decimal"/>
      <w:lvlText w:val=""/>
      <w:lvlJc w:val="left"/>
    </w:lvl>
    <w:lvl w:ilvl="6" w:tplc="FF2A8F68">
      <w:numFmt w:val="decimal"/>
      <w:lvlText w:val=""/>
      <w:lvlJc w:val="left"/>
    </w:lvl>
    <w:lvl w:ilvl="7" w:tplc="FB86D2DA">
      <w:numFmt w:val="decimal"/>
      <w:lvlText w:val=""/>
      <w:lvlJc w:val="left"/>
    </w:lvl>
    <w:lvl w:ilvl="8" w:tplc="994430E4">
      <w:numFmt w:val="decimal"/>
      <w:lvlText w:val=""/>
      <w:lvlJc w:val="left"/>
    </w:lvl>
  </w:abstractNum>
  <w:abstractNum w:abstractNumId="56" w15:restartNumberingAfterBreak="0">
    <w:nsid w:val="68DC0729"/>
    <w:multiLevelType w:val="hybridMultilevel"/>
    <w:tmpl w:val="D00296E2"/>
    <w:lvl w:ilvl="0" w:tplc="DC147400">
      <w:start w:val="1"/>
      <w:numFmt w:val="bullet"/>
      <w:lvlText w:val=""/>
      <w:lvlJc w:val="left"/>
      <w:pPr>
        <w:tabs>
          <w:tab w:val="num" w:pos="1080"/>
        </w:tabs>
        <w:ind w:left="720" w:hanging="360"/>
      </w:pPr>
      <w:rPr>
        <w:rFonts w:ascii="Symbol" w:hAnsi="Symbol" w:hint="default"/>
      </w:rPr>
    </w:lvl>
    <w:lvl w:ilvl="1" w:tplc="7FDCB3AC">
      <w:numFmt w:val="decimal"/>
      <w:lvlText w:val=""/>
      <w:lvlJc w:val="left"/>
    </w:lvl>
    <w:lvl w:ilvl="2" w:tplc="5C72E53C">
      <w:numFmt w:val="decimal"/>
      <w:lvlText w:val=""/>
      <w:lvlJc w:val="left"/>
    </w:lvl>
    <w:lvl w:ilvl="3" w:tplc="CD805920">
      <w:numFmt w:val="decimal"/>
      <w:lvlText w:val=""/>
      <w:lvlJc w:val="left"/>
    </w:lvl>
    <w:lvl w:ilvl="4" w:tplc="7BCA55FE">
      <w:numFmt w:val="decimal"/>
      <w:lvlText w:val=""/>
      <w:lvlJc w:val="left"/>
    </w:lvl>
    <w:lvl w:ilvl="5" w:tplc="58449420">
      <w:numFmt w:val="decimal"/>
      <w:lvlText w:val=""/>
      <w:lvlJc w:val="left"/>
    </w:lvl>
    <w:lvl w:ilvl="6" w:tplc="132E4AE0">
      <w:numFmt w:val="decimal"/>
      <w:lvlText w:val=""/>
      <w:lvlJc w:val="left"/>
    </w:lvl>
    <w:lvl w:ilvl="7" w:tplc="FC12C118">
      <w:numFmt w:val="decimal"/>
      <w:lvlText w:val=""/>
      <w:lvlJc w:val="left"/>
    </w:lvl>
    <w:lvl w:ilvl="8" w:tplc="3C061F6C">
      <w:numFmt w:val="decimal"/>
      <w:lvlText w:val=""/>
      <w:lvlJc w:val="left"/>
    </w:lvl>
  </w:abstractNum>
  <w:abstractNum w:abstractNumId="57" w15:restartNumberingAfterBreak="0">
    <w:nsid w:val="6DC91695"/>
    <w:multiLevelType w:val="hybridMultilevel"/>
    <w:tmpl w:val="1D2A1C42"/>
    <w:lvl w:ilvl="0" w:tplc="5748C8F0">
      <w:start w:val="1"/>
      <w:numFmt w:val="bullet"/>
      <w:lvlText w:val=""/>
      <w:lvlJc w:val="left"/>
      <w:pPr>
        <w:tabs>
          <w:tab w:val="num" w:pos="1080"/>
        </w:tabs>
        <w:ind w:left="720" w:hanging="360"/>
      </w:pPr>
      <w:rPr>
        <w:rFonts w:ascii="Symbol" w:hAnsi="Symbol" w:hint="default"/>
      </w:rPr>
    </w:lvl>
    <w:lvl w:ilvl="1" w:tplc="5734F5CC">
      <w:numFmt w:val="decimal"/>
      <w:lvlText w:val=""/>
      <w:lvlJc w:val="left"/>
    </w:lvl>
    <w:lvl w:ilvl="2" w:tplc="3D8C97B0">
      <w:numFmt w:val="decimal"/>
      <w:lvlText w:val=""/>
      <w:lvlJc w:val="left"/>
    </w:lvl>
    <w:lvl w:ilvl="3" w:tplc="A5122E48">
      <w:numFmt w:val="decimal"/>
      <w:lvlText w:val=""/>
      <w:lvlJc w:val="left"/>
    </w:lvl>
    <w:lvl w:ilvl="4" w:tplc="FF84F030">
      <w:numFmt w:val="decimal"/>
      <w:lvlText w:val=""/>
      <w:lvlJc w:val="left"/>
    </w:lvl>
    <w:lvl w:ilvl="5" w:tplc="FB3CB0AC">
      <w:numFmt w:val="decimal"/>
      <w:lvlText w:val=""/>
      <w:lvlJc w:val="left"/>
    </w:lvl>
    <w:lvl w:ilvl="6" w:tplc="47ACF04C">
      <w:numFmt w:val="decimal"/>
      <w:lvlText w:val=""/>
      <w:lvlJc w:val="left"/>
    </w:lvl>
    <w:lvl w:ilvl="7" w:tplc="1B9CB140">
      <w:numFmt w:val="decimal"/>
      <w:lvlText w:val=""/>
      <w:lvlJc w:val="left"/>
    </w:lvl>
    <w:lvl w:ilvl="8" w:tplc="583662E8">
      <w:numFmt w:val="decimal"/>
      <w:lvlText w:val=""/>
      <w:lvlJc w:val="left"/>
    </w:lvl>
  </w:abstractNum>
  <w:abstractNum w:abstractNumId="58" w15:restartNumberingAfterBreak="0">
    <w:nsid w:val="72F31CA6"/>
    <w:multiLevelType w:val="multilevel"/>
    <w:tmpl w:val="936E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2F6283C"/>
    <w:multiLevelType w:val="multilevel"/>
    <w:tmpl w:val="A33CA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3194606"/>
    <w:multiLevelType w:val="multilevel"/>
    <w:tmpl w:val="1922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2F2EAD"/>
    <w:multiLevelType w:val="multilevel"/>
    <w:tmpl w:val="A356A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8064AA6"/>
    <w:multiLevelType w:val="hybridMultilevel"/>
    <w:tmpl w:val="FD425394"/>
    <w:lvl w:ilvl="0" w:tplc="C63A34DC">
      <w:start w:val="1"/>
      <w:numFmt w:val="bullet"/>
      <w:lvlText w:val=""/>
      <w:lvlJc w:val="left"/>
      <w:pPr>
        <w:tabs>
          <w:tab w:val="num" w:pos="1080"/>
        </w:tabs>
        <w:ind w:left="720" w:hanging="360"/>
      </w:pPr>
      <w:rPr>
        <w:rFonts w:ascii="Symbol" w:hAnsi="Symbol" w:hint="default"/>
      </w:rPr>
    </w:lvl>
    <w:lvl w:ilvl="1" w:tplc="5310256C">
      <w:numFmt w:val="decimal"/>
      <w:lvlText w:val=""/>
      <w:lvlJc w:val="left"/>
    </w:lvl>
    <w:lvl w:ilvl="2" w:tplc="0ECA9C72">
      <w:numFmt w:val="decimal"/>
      <w:lvlText w:val=""/>
      <w:lvlJc w:val="left"/>
    </w:lvl>
    <w:lvl w:ilvl="3" w:tplc="5D18B512">
      <w:numFmt w:val="decimal"/>
      <w:lvlText w:val=""/>
      <w:lvlJc w:val="left"/>
    </w:lvl>
    <w:lvl w:ilvl="4" w:tplc="0E6CA8EC">
      <w:numFmt w:val="decimal"/>
      <w:lvlText w:val=""/>
      <w:lvlJc w:val="left"/>
    </w:lvl>
    <w:lvl w:ilvl="5" w:tplc="D532764A">
      <w:numFmt w:val="decimal"/>
      <w:lvlText w:val=""/>
      <w:lvlJc w:val="left"/>
    </w:lvl>
    <w:lvl w:ilvl="6" w:tplc="981E31D0">
      <w:numFmt w:val="decimal"/>
      <w:lvlText w:val=""/>
      <w:lvlJc w:val="left"/>
    </w:lvl>
    <w:lvl w:ilvl="7" w:tplc="5F7A2D62">
      <w:numFmt w:val="decimal"/>
      <w:lvlText w:val=""/>
      <w:lvlJc w:val="left"/>
    </w:lvl>
    <w:lvl w:ilvl="8" w:tplc="59F22B06">
      <w:numFmt w:val="decimal"/>
      <w:lvlText w:val=""/>
      <w:lvlJc w:val="left"/>
    </w:lvl>
  </w:abstractNum>
  <w:abstractNum w:abstractNumId="63" w15:restartNumberingAfterBreak="0">
    <w:nsid w:val="7ABE17A5"/>
    <w:multiLevelType w:val="hybridMultilevel"/>
    <w:tmpl w:val="A88A4A42"/>
    <w:lvl w:ilvl="0" w:tplc="568A6362">
      <w:start w:val="1"/>
      <w:numFmt w:val="bullet"/>
      <w:lvlText w:val=""/>
      <w:lvlJc w:val="left"/>
      <w:pPr>
        <w:tabs>
          <w:tab w:val="num" w:pos="1080"/>
        </w:tabs>
        <w:ind w:left="720" w:hanging="360"/>
      </w:pPr>
      <w:rPr>
        <w:rFonts w:ascii="Symbol" w:hAnsi="Symbol" w:hint="default"/>
      </w:rPr>
    </w:lvl>
    <w:lvl w:ilvl="1" w:tplc="0A8AC9E0">
      <w:numFmt w:val="decimal"/>
      <w:lvlText w:val=""/>
      <w:lvlJc w:val="left"/>
    </w:lvl>
    <w:lvl w:ilvl="2" w:tplc="26BECCE4">
      <w:numFmt w:val="decimal"/>
      <w:lvlText w:val=""/>
      <w:lvlJc w:val="left"/>
    </w:lvl>
    <w:lvl w:ilvl="3" w:tplc="C3647BC6">
      <w:numFmt w:val="decimal"/>
      <w:lvlText w:val=""/>
      <w:lvlJc w:val="left"/>
    </w:lvl>
    <w:lvl w:ilvl="4" w:tplc="F3E65BF0">
      <w:numFmt w:val="decimal"/>
      <w:lvlText w:val=""/>
      <w:lvlJc w:val="left"/>
    </w:lvl>
    <w:lvl w:ilvl="5" w:tplc="67EA198C">
      <w:numFmt w:val="decimal"/>
      <w:lvlText w:val=""/>
      <w:lvlJc w:val="left"/>
    </w:lvl>
    <w:lvl w:ilvl="6" w:tplc="857C72E6">
      <w:numFmt w:val="decimal"/>
      <w:lvlText w:val=""/>
      <w:lvlJc w:val="left"/>
    </w:lvl>
    <w:lvl w:ilvl="7" w:tplc="585C240A">
      <w:numFmt w:val="decimal"/>
      <w:lvlText w:val=""/>
      <w:lvlJc w:val="left"/>
    </w:lvl>
    <w:lvl w:ilvl="8" w:tplc="102CE594">
      <w:numFmt w:val="decimal"/>
      <w:lvlText w:val=""/>
      <w:lvlJc w:val="left"/>
    </w:lvl>
  </w:abstractNum>
  <w:abstractNum w:abstractNumId="64" w15:restartNumberingAfterBreak="0">
    <w:nsid w:val="7BDC705C"/>
    <w:multiLevelType w:val="hybridMultilevel"/>
    <w:tmpl w:val="793C6B12"/>
    <w:lvl w:ilvl="0" w:tplc="069A8C76">
      <w:start w:val="1"/>
      <w:numFmt w:val="decimal"/>
      <w:lvlText w:val="%1."/>
      <w:lvlJc w:val="left"/>
      <w:pPr>
        <w:tabs>
          <w:tab w:val="num" w:pos="1080"/>
        </w:tabs>
        <w:ind w:left="720" w:hanging="360"/>
      </w:pPr>
    </w:lvl>
    <w:lvl w:ilvl="1" w:tplc="1F8217A6">
      <w:numFmt w:val="decimal"/>
      <w:lvlText w:val=""/>
      <w:lvlJc w:val="left"/>
    </w:lvl>
    <w:lvl w:ilvl="2" w:tplc="85A47F02">
      <w:numFmt w:val="decimal"/>
      <w:lvlText w:val=""/>
      <w:lvlJc w:val="left"/>
    </w:lvl>
    <w:lvl w:ilvl="3" w:tplc="CE541CF8">
      <w:numFmt w:val="decimal"/>
      <w:lvlText w:val=""/>
      <w:lvlJc w:val="left"/>
    </w:lvl>
    <w:lvl w:ilvl="4" w:tplc="B672A11C">
      <w:numFmt w:val="decimal"/>
      <w:lvlText w:val=""/>
      <w:lvlJc w:val="left"/>
    </w:lvl>
    <w:lvl w:ilvl="5" w:tplc="3FC279CC">
      <w:numFmt w:val="decimal"/>
      <w:lvlText w:val=""/>
      <w:lvlJc w:val="left"/>
    </w:lvl>
    <w:lvl w:ilvl="6" w:tplc="138E81DE">
      <w:numFmt w:val="decimal"/>
      <w:lvlText w:val=""/>
      <w:lvlJc w:val="left"/>
    </w:lvl>
    <w:lvl w:ilvl="7" w:tplc="91C2360C">
      <w:numFmt w:val="decimal"/>
      <w:lvlText w:val=""/>
      <w:lvlJc w:val="left"/>
    </w:lvl>
    <w:lvl w:ilvl="8" w:tplc="E54C196A">
      <w:numFmt w:val="decimal"/>
      <w:lvlText w:val=""/>
      <w:lvlJc w:val="left"/>
    </w:lvl>
  </w:abstractNum>
  <w:abstractNum w:abstractNumId="65" w15:restartNumberingAfterBreak="0">
    <w:nsid w:val="7E6A6AEA"/>
    <w:multiLevelType w:val="hybridMultilevel"/>
    <w:tmpl w:val="CE9E2D48"/>
    <w:lvl w:ilvl="0" w:tplc="98407438">
      <w:start w:val="1"/>
      <w:numFmt w:val="bullet"/>
      <w:lvlText w:val=""/>
      <w:lvlJc w:val="left"/>
      <w:pPr>
        <w:tabs>
          <w:tab w:val="num" w:pos="1080"/>
        </w:tabs>
        <w:ind w:left="720" w:hanging="360"/>
      </w:pPr>
      <w:rPr>
        <w:rFonts w:ascii="Symbol" w:hAnsi="Symbol" w:hint="default"/>
      </w:rPr>
    </w:lvl>
    <w:lvl w:ilvl="1" w:tplc="E82448DA">
      <w:numFmt w:val="decimal"/>
      <w:lvlText w:val=""/>
      <w:lvlJc w:val="left"/>
    </w:lvl>
    <w:lvl w:ilvl="2" w:tplc="348AF172">
      <w:numFmt w:val="decimal"/>
      <w:lvlText w:val=""/>
      <w:lvlJc w:val="left"/>
    </w:lvl>
    <w:lvl w:ilvl="3" w:tplc="62BAFCA4">
      <w:numFmt w:val="decimal"/>
      <w:lvlText w:val=""/>
      <w:lvlJc w:val="left"/>
    </w:lvl>
    <w:lvl w:ilvl="4" w:tplc="CC78A894">
      <w:numFmt w:val="decimal"/>
      <w:lvlText w:val=""/>
      <w:lvlJc w:val="left"/>
    </w:lvl>
    <w:lvl w:ilvl="5" w:tplc="C6BCC878">
      <w:numFmt w:val="decimal"/>
      <w:lvlText w:val=""/>
      <w:lvlJc w:val="left"/>
    </w:lvl>
    <w:lvl w:ilvl="6" w:tplc="25488B60">
      <w:numFmt w:val="decimal"/>
      <w:lvlText w:val=""/>
      <w:lvlJc w:val="left"/>
    </w:lvl>
    <w:lvl w:ilvl="7" w:tplc="5CAE0702">
      <w:numFmt w:val="decimal"/>
      <w:lvlText w:val=""/>
      <w:lvlJc w:val="left"/>
    </w:lvl>
    <w:lvl w:ilvl="8" w:tplc="5A54C456">
      <w:numFmt w:val="decimal"/>
      <w:lvlText w:val=""/>
      <w:lvlJc w:val="left"/>
    </w:lvl>
  </w:abstractNum>
  <w:abstractNum w:abstractNumId="66" w15:restartNumberingAfterBreak="0">
    <w:nsid w:val="7FF656C2"/>
    <w:multiLevelType w:val="hybridMultilevel"/>
    <w:tmpl w:val="10EA6144"/>
    <w:lvl w:ilvl="0" w:tplc="EE7800BC">
      <w:start w:val="1"/>
      <w:numFmt w:val="bullet"/>
      <w:lvlText w:val=""/>
      <w:lvlJc w:val="left"/>
      <w:pPr>
        <w:tabs>
          <w:tab w:val="num" w:pos="1080"/>
        </w:tabs>
        <w:ind w:left="720" w:hanging="360"/>
      </w:pPr>
      <w:rPr>
        <w:rFonts w:ascii="Symbol" w:hAnsi="Symbol" w:hint="default"/>
      </w:rPr>
    </w:lvl>
    <w:lvl w:ilvl="1" w:tplc="9DAA17B8">
      <w:numFmt w:val="decimal"/>
      <w:lvlText w:val=""/>
      <w:lvlJc w:val="left"/>
    </w:lvl>
    <w:lvl w:ilvl="2" w:tplc="76AC45D4">
      <w:numFmt w:val="decimal"/>
      <w:lvlText w:val=""/>
      <w:lvlJc w:val="left"/>
    </w:lvl>
    <w:lvl w:ilvl="3" w:tplc="29BA277A">
      <w:numFmt w:val="decimal"/>
      <w:lvlText w:val=""/>
      <w:lvlJc w:val="left"/>
    </w:lvl>
    <w:lvl w:ilvl="4" w:tplc="D61ECB28">
      <w:numFmt w:val="decimal"/>
      <w:lvlText w:val=""/>
      <w:lvlJc w:val="left"/>
    </w:lvl>
    <w:lvl w:ilvl="5" w:tplc="63AC33BE">
      <w:numFmt w:val="decimal"/>
      <w:lvlText w:val=""/>
      <w:lvlJc w:val="left"/>
    </w:lvl>
    <w:lvl w:ilvl="6" w:tplc="6994E570">
      <w:numFmt w:val="decimal"/>
      <w:lvlText w:val=""/>
      <w:lvlJc w:val="left"/>
    </w:lvl>
    <w:lvl w:ilvl="7" w:tplc="BFA49AA2">
      <w:numFmt w:val="decimal"/>
      <w:lvlText w:val=""/>
      <w:lvlJc w:val="left"/>
    </w:lvl>
    <w:lvl w:ilvl="8" w:tplc="B310100C">
      <w:numFmt w:val="decimal"/>
      <w:lvlText w:val=""/>
      <w:lvlJc w:val="left"/>
    </w:lvl>
  </w:abstractNum>
  <w:num w:numId="1" w16cid:durableId="664355174">
    <w:abstractNumId w:val="17"/>
  </w:num>
  <w:num w:numId="2" w16cid:durableId="1186361893">
    <w:abstractNumId w:val="64"/>
  </w:num>
  <w:num w:numId="3" w16cid:durableId="909576735">
    <w:abstractNumId w:val="39"/>
  </w:num>
  <w:num w:numId="4" w16cid:durableId="1557473524">
    <w:abstractNumId w:val="0"/>
  </w:num>
  <w:num w:numId="5" w16cid:durableId="966666512">
    <w:abstractNumId w:val="62"/>
  </w:num>
  <w:num w:numId="6" w16cid:durableId="469245474">
    <w:abstractNumId w:val="1"/>
  </w:num>
  <w:num w:numId="7" w16cid:durableId="1273898975">
    <w:abstractNumId w:val="35"/>
  </w:num>
  <w:num w:numId="8" w16cid:durableId="113984899">
    <w:abstractNumId w:val="34"/>
  </w:num>
  <w:num w:numId="9" w16cid:durableId="38288982">
    <w:abstractNumId w:val="2"/>
  </w:num>
  <w:num w:numId="10" w16cid:durableId="1798447694">
    <w:abstractNumId w:val="45"/>
  </w:num>
  <w:num w:numId="11" w16cid:durableId="2043704327">
    <w:abstractNumId w:val="41"/>
  </w:num>
  <w:num w:numId="12" w16cid:durableId="856233356">
    <w:abstractNumId w:val="57"/>
  </w:num>
  <w:num w:numId="13" w16cid:durableId="2124810229">
    <w:abstractNumId w:val="12"/>
  </w:num>
  <w:num w:numId="14" w16cid:durableId="1657146878">
    <w:abstractNumId w:val="53"/>
  </w:num>
  <w:num w:numId="15" w16cid:durableId="780950606">
    <w:abstractNumId w:val="63"/>
  </w:num>
  <w:num w:numId="16" w16cid:durableId="582839751">
    <w:abstractNumId w:val="24"/>
  </w:num>
  <w:num w:numId="17" w16cid:durableId="370769781">
    <w:abstractNumId w:val="22"/>
  </w:num>
  <w:num w:numId="18" w16cid:durableId="406806251">
    <w:abstractNumId w:val="8"/>
  </w:num>
  <w:num w:numId="19" w16cid:durableId="756827774">
    <w:abstractNumId w:val="6"/>
  </w:num>
  <w:num w:numId="20" w16cid:durableId="1273123392">
    <w:abstractNumId w:val="4"/>
  </w:num>
  <w:num w:numId="21" w16cid:durableId="578829229">
    <w:abstractNumId w:val="47"/>
  </w:num>
  <w:num w:numId="22" w16cid:durableId="95904900">
    <w:abstractNumId w:val="14"/>
  </w:num>
  <w:num w:numId="23" w16cid:durableId="1930313492">
    <w:abstractNumId w:val="28"/>
  </w:num>
  <w:num w:numId="24" w16cid:durableId="294873797">
    <w:abstractNumId w:val="32"/>
  </w:num>
  <w:num w:numId="25" w16cid:durableId="1506170701">
    <w:abstractNumId w:val="50"/>
  </w:num>
  <w:num w:numId="26" w16cid:durableId="496842551">
    <w:abstractNumId w:val="26"/>
  </w:num>
  <w:num w:numId="27" w16cid:durableId="1383169268">
    <w:abstractNumId w:val="66"/>
  </w:num>
  <w:num w:numId="28" w16cid:durableId="1734351415">
    <w:abstractNumId w:val="25"/>
  </w:num>
  <w:num w:numId="29" w16cid:durableId="1370766448">
    <w:abstractNumId w:val="65"/>
  </w:num>
  <w:num w:numId="30" w16cid:durableId="214586931">
    <w:abstractNumId w:val="9"/>
  </w:num>
  <w:num w:numId="31" w16cid:durableId="512383996">
    <w:abstractNumId w:val="13"/>
  </w:num>
  <w:num w:numId="32" w16cid:durableId="1543058692">
    <w:abstractNumId w:val="52"/>
  </w:num>
  <w:num w:numId="33" w16cid:durableId="1334843093">
    <w:abstractNumId w:val="38"/>
  </w:num>
  <w:num w:numId="34" w16cid:durableId="1604269152">
    <w:abstractNumId w:val="55"/>
  </w:num>
  <w:num w:numId="35" w16cid:durableId="758873365">
    <w:abstractNumId w:val="19"/>
  </w:num>
  <w:num w:numId="36" w16cid:durableId="2143961270">
    <w:abstractNumId w:val="56"/>
  </w:num>
  <w:num w:numId="37" w16cid:durableId="20017323">
    <w:abstractNumId w:val="49"/>
  </w:num>
  <w:num w:numId="38" w16cid:durableId="1532258458">
    <w:abstractNumId w:val="18"/>
  </w:num>
  <w:num w:numId="39" w16cid:durableId="637612738">
    <w:abstractNumId w:val="21"/>
  </w:num>
  <w:num w:numId="40" w16cid:durableId="645400050">
    <w:abstractNumId w:val="29"/>
  </w:num>
  <w:num w:numId="41" w16cid:durableId="1675916460">
    <w:abstractNumId w:val="31"/>
  </w:num>
  <w:num w:numId="42" w16cid:durableId="1172641463">
    <w:abstractNumId w:val="48"/>
  </w:num>
  <w:num w:numId="43" w16cid:durableId="2113814033">
    <w:abstractNumId w:val="42"/>
  </w:num>
  <w:num w:numId="44" w16cid:durableId="1974478973">
    <w:abstractNumId w:val="15"/>
  </w:num>
  <w:num w:numId="45" w16cid:durableId="362445461">
    <w:abstractNumId w:val="11"/>
  </w:num>
  <w:num w:numId="46" w16cid:durableId="1662200752">
    <w:abstractNumId w:val="46"/>
  </w:num>
  <w:num w:numId="47" w16cid:durableId="122432799">
    <w:abstractNumId w:val="40"/>
  </w:num>
  <w:num w:numId="48" w16cid:durableId="1062750389">
    <w:abstractNumId w:val="5"/>
  </w:num>
  <w:num w:numId="49" w16cid:durableId="173498413">
    <w:abstractNumId w:val="27"/>
  </w:num>
  <w:num w:numId="50" w16cid:durableId="440222816">
    <w:abstractNumId w:val="51"/>
  </w:num>
  <w:num w:numId="51" w16cid:durableId="335231937">
    <w:abstractNumId w:val="37"/>
  </w:num>
  <w:num w:numId="52" w16cid:durableId="1342270127">
    <w:abstractNumId w:val="10"/>
  </w:num>
  <w:num w:numId="53" w16cid:durableId="1040592131">
    <w:abstractNumId w:val="43"/>
  </w:num>
  <w:num w:numId="54" w16cid:durableId="1970086545">
    <w:abstractNumId w:val="61"/>
  </w:num>
  <w:num w:numId="55" w16cid:durableId="931666758">
    <w:abstractNumId w:val="58"/>
  </w:num>
  <w:num w:numId="56" w16cid:durableId="1904483392">
    <w:abstractNumId w:val="59"/>
  </w:num>
  <w:num w:numId="57" w16cid:durableId="221908476">
    <w:abstractNumId w:val="33"/>
  </w:num>
  <w:num w:numId="58" w16cid:durableId="1316101776">
    <w:abstractNumId w:val="60"/>
  </w:num>
  <w:num w:numId="59" w16cid:durableId="1167592578">
    <w:abstractNumId w:val="16"/>
  </w:num>
  <w:num w:numId="60" w16cid:durableId="1974169473">
    <w:abstractNumId w:val="54"/>
  </w:num>
  <w:num w:numId="61" w16cid:durableId="40903844">
    <w:abstractNumId w:val="20"/>
  </w:num>
  <w:num w:numId="62" w16cid:durableId="1771005847">
    <w:abstractNumId w:val="36"/>
  </w:num>
  <w:num w:numId="63" w16cid:durableId="1605113970">
    <w:abstractNumId w:val="3"/>
  </w:num>
  <w:num w:numId="64" w16cid:durableId="163282893">
    <w:abstractNumId w:val="23"/>
  </w:num>
  <w:num w:numId="65" w16cid:durableId="273171588">
    <w:abstractNumId w:val="30"/>
  </w:num>
  <w:num w:numId="66" w16cid:durableId="513567686">
    <w:abstractNumId w:val="44"/>
  </w:num>
  <w:num w:numId="67" w16cid:durableId="17181623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383"/>
    <w:rsid w:val="00005290"/>
    <w:rsid w:val="00047E08"/>
    <w:rsid w:val="00111D59"/>
    <w:rsid w:val="00120B73"/>
    <w:rsid w:val="001D10E0"/>
    <w:rsid w:val="001E7314"/>
    <w:rsid w:val="001F1978"/>
    <w:rsid w:val="002051B2"/>
    <w:rsid w:val="002824CB"/>
    <w:rsid w:val="0035554A"/>
    <w:rsid w:val="003C3977"/>
    <w:rsid w:val="004A0CBA"/>
    <w:rsid w:val="004F3EC4"/>
    <w:rsid w:val="00534AEA"/>
    <w:rsid w:val="005B2879"/>
    <w:rsid w:val="005C622B"/>
    <w:rsid w:val="00681902"/>
    <w:rsid w:val="0075051C"/>
    <w:rsid w:val="00797305"/>
    <w:rsid w:val="007D73BE"/>
    <w:rsid w:val="007F1D5D"/>
    <w:rsid w:val="00855B4D"/>
    <w:rsid w:val="00856076"/>
    <w:rsid w:val="008609CB"/>
    <w:rsid w:val="008B1F8A"/>
    <w:rsid w:val="008E0422"/>
    <w:rsid w:val="008F6F73"/>
    <w:rsid w:val="00913AFA"/>
    <w:rsid w:val="00956011"/>
    <w:rsid w:val="00957AE7"/>
    <w:rsid w:val="0096076E"/>
    <w:rsid w:val="00972C84"/>
    <w:rsid w:val="00AD6F2C"/>
    <w:rsid w:val="00B4096B"/>
    <w:rsid w:val="00B90B86"/>
    <w:rsid w:val="00BA7508"/>
    <w:rsid w:val="00C81BB3"/>
    <w:rsid w:val="00CA0697"/>
    <w:rsid w:val="00CC6383"/>
    <w:rsid w:val="00CE6D72"/>
    <w:rsid w:val="00D22C00"/>
    <w:rsid w:val="00D2535A"/>
    <w:rsid w:val="00D55A41"/>
    <w:rsid w:val="00D65DBF"/>
    <w:rsid w:val="00DC4B07"/>
    <w:rsid w:val="00DC60BE"/>
    <w:rsid w:val="00E80F9E"/>
    <w:rsid w:val="00F9598F"/>
    <w:rsid w:val="00FE3B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FB8F6"/>
  <w15:docId w15:val="{6D84EF31-9EFA-42D7-A087-D1FF18E9F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DBF"/>
  </w:style>
  <w:style w:type="paragraph" w:styleId="Titre1">
    <w:name w:val="heading 1"/>
    <w:basedOn w:val="Normal"/>
    <w:next w:val="Normal"/>
    <w:link w:val="Titre1Car"/>
    <w:uiPriority w:val="9"/>
    <w:qFormat/>
    <w:rsid w:val="00D65DBF"/>
    <w:pPr>
      <w:keepNext/>
      <w:keepLines/>
      <w:spacing w:before="480" w:after="0"/>
      <w:outlineLvl w:val="0"/>
    </w:pPr>
    <w:rPr>
      <w:rFonts w:asciiTheme="majorHAnsi" w:eastAsiaTheme="majorEastAsia" w:hAnsiTheme="majorHAnsi" w:cstheme="majorBidi"/>
      <w:b/>
      <w:bCs/>
      <w:color w:val="374C80" w:themeColor="accent1" w:themeShade="BF"/>
      <w:sz w:val="28"/>
      <w:szCs w:val="28"/>
    </w:rPr>
  </w:style>
  <w:style w:type="paragraph" w:styleId="Titre2">
    <w:name w:val="heading 2"/>
    <w:basedOn w:val="Normal"/>
    <w:next w:val="Normal"/>
    <w:link w:val="Titre2Car"/>
    <w:uiPriority w:val="9"/>
    <w:unhideWhenUsed/>
    <w:qFormat/>
    <w:rsid w:val="00D65DBF"/>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Titre3">
    <w:name w:val="heading 3"/>
    <w:basedOn w:val="Normal"/>
    <w:next w:val="Normal"/>
    <w:link w:val="Titre3Car"/>
    <w:uiPriority w:val="9"/>
    <w:unhideWhenUsed/>
    <w:qFormat/>
    <w:rsid w:val="00D65DBF"/>
    <w:pPr>
      <w:keepNext/>
      <w:keepLines/>
      <w:spacing w:before="200" w:after="0"/>
      <w:outlineLvl w:val="2"/>
    </w:pPr>
    <w:rPr>
      <w:rFonts w:asciiTheme="majorHAnsi" w:eastAsiaTheme="majorEastAsia" w:hAnsiTheme="majorHAnsi" w:cstheme="majorBidi"/>
      <w:b/>
      <w:bCs/>
      <w:color w:val="4A66AC" w:themeColor="accent1"/>
    </w:rPr>
  </w:style>
  <w:style w:type="paragraph" w:styleId="Titre4">
    <w:name w:val="heading 4"/>
    <w:basedOn w:val="Normal"/>
    <w:next w:val="Normal"/>
    <w:link w:val="Titre4Car"/>
    <w:uiPriority w:val="9"/>
    <w:semiHidden/>
    <w:unhideWhenUsed/>
    <w:qFormat/>
    <w:rsid w:val="00D65DBF"/>
    <w:pPr>
      <w:keepNext/>
      <w:keepLines/>
      <w:spacing w:before="200" w:after="0"/>
      <w:outlineLvl w:val="3"/>
    </w:pPr>
    <w:rPr>
      <w:rFonts w:asciiTheme="majorHAnsi" w:eastAsiaTheme="majorEastAsia" w:hAnsiTheme="majorHAnsi" w:cstheme="majorBidi"/>
      <w:b/>
      <w:bCs/>
      <w:i/>
      <w:iCs/>
      <w:color w:val="4A66AC" w:themeColor="accent1"/>
    </w:rPr>
  </w:style>
  <w:style w:type="paragraph" w:styleId="Titre5">
    <w:name w:val="heading 5"/>
    <w:basedOn w:val="Normal"/>
    <w:next w:val="Normal"/>
    <w:link w:val="Titre5Car"/>
    <w:uiPriority w:val="9"/>
    <w:semiHidden/>
    <w:unhideWhenUsed/>
    <w:qFormat/>
    <w:rsid w:val="00D65DBF"/>
    <w:pPr>
      <w:keepNext/>
      <w:keepLines/>
      <w:spacing w:before="200" w:after="0"/>
      <w:outlineLvl w:val="4"/>
    </w:pPr>
    <w:rPr>
      <w:rFonts w:asciiTheme="majorHAnsi" w:eastAsiaTheme="majorEastAsia" w:hAnsiTheme="majorHAnsi" w:cstheme="majorBidi"/>
      <w:color w:val="243255" w:themeColor="accent1" w:themeShade="7F"/>
    </w:rPr>
  </w:style>
  <w:style w:type="paragraph" w:styleId="Titre6">
    <w:name w:val="heading 6"/>
    <w:basedOn w:val="Normal"/>
    <w:next w:val="Normal"/>
    <w:link w:val="Titre6Car"/>
    <w:uiPriority w:val="9"/>
    <w:semiHidden/>
    <w:unhideWhenUsed/>
    <w:qFormat/>
    <w:rsid w:val="00D65DBF"/>
    <w:pPr>
      <w:keepNext/>
      <w:keepLines/>
      <w:spacing w:before="200" w:after="0"/>
      <w:outlineLvl w:val="5"/>
    </w:pPr>
    <w:rPr>
      <w:rFonts w:asciiTheme="majorHAnsi" w:eastAsiaTheme="majorEastAsia" w:hAnsiTheme="majorHAnsi" w:cstheme="majorBidi"/>
      <w:i/>
      <w:iCs/>
      <w:color w:val="243255" w:themeColor="accent1" w:themeShade="7F"/>
    </w:rPr>
  </w:style>
  <w:style w:type="paragraph" w:styleId="Titre7">
    <w:name w:val="heading 7"/>
    <w:basedOn w:val="Normal"/>
    <w:next w:val="Normal"/>
    <w:link w:val="Titre7Car"/>
    <w:uiPriority w:val="9"/>
    <w:semiHidden/>
    <w:unhideWhenUsed/>
    <w:qFormat/>
    <w:rsid w:val="00D65DB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65DBF"/>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Titre9">
    <w:name w:val="heading 9"/>
    <w:basedOn w:val="Normal"/>
    <w:next w:val="Normal"/>
    <w:link w:val="Titre9Car"/>
    <w:uiPriority w:val="9"/>
    <w:semiHidden/>
    <w:unhideWhenUsed/>
    <w:qFormat/>
    <w:rsid w:val="00D65DB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auNormal"/>
    <w:uiPriority w:val="39"/>
    <w:pPr>
      <w:spacing w:after="0" w:line="240" w:lineRule="auto"/>
    </w:pPr>
    <w:tblPr>
      <w:tblCellMar>
        <w:top w:w="80" w:type="dxa"/>
        <w:left w:w="160" w:type="dxa"/>
        <w:bottom w:w="80" w:type="dxa"/>
        <w:right w:w="160" w:type="dxa"/>
      </w:tblCellMar>
    </w:tblPr>
  </w:style>
  <w:style w:type="paragraph" w:styleId="En-tte">
    <w:name w:val="header"/>
    <w:basedOn w:val="Normal"/>
    <w:link w:val="En-tteCar"/>
    <w:uiPriority w:val="99"/>
    <w:unhideWhenUsed/>
    <w:rsid w:val="003C3977"/>
    <w:pPr>
      <w:tabs>
        <w:tab w:val="center" w:pos="4536"/>
        <w:tab w:val="right" w:pos="9072"/>
      </w:tabs>
      <w:spacing w:after="0" w:line="240" w:lineRule="auto"/>
    </w:pPr>
  </w:style>
  <w:style w:type="character" w:customStyle="1" w:styleId="En-tteCar">
    <w:name w:val="En-tête Car"/>
    <w:basedOn w:val="Policepardfaut"/>
    <w:link w:val="En-tte"/>
    <w:uiPriority w:val="99"/>
    <w:rsid w:val="003C3977"/>
  </w:style>
  <w:style w:type="paragraph" w:styleId="Pieddepage">
    <w:name w:val="footer"/>
    <w:basedOn w:val="Normal"/>
    <w:link w:val="PieddepageCar"/>
    <w:uiPriority w:val="99"/>
    <w:unhideWhenUsed/>
    <w:rsid w:val="003C39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3977"/>
  </w:style>
  <w:style w:type="character" w:customStyle="1" w:styleId="Titre1Car">
    <w:name w:val="Titre 1 Car"/>
    <w:basedOn w:val="Policepardfaut"/>
    <w:link w:val="Titre1"/>
    <w:uiPriority w:val="9"/>
    <w:rsid w:val="00D65DBF"/>
    <w:rPr>
      <w:rFonts w:asciiTheme="majorHAnsi" w:eastAsiaTheme="majorEastAsia" w:hAnsiTheme="majorHAnsi" w:cstheme="majorBidi"/>
      <w:b/>
      <w:bCs/>
      <w:color w:val="374C80" w:themeColor="accent1" w:themeShade="BF"/>
      <w:sz w:val="28"/>
      <w:szCs w:val="28"/>
    </w:rPr>
  </w:style>
  <w:style w:type="paragraph" w:styleId="En-ttedetabledesmatires">
    <w:name w:val="TOC Heading"/>
    <w:basedOn w:val="Titre1"/>
    <w:next w:val="Normal"/>
    <w:uiPriority w:val="39"/>
    <w:unhideWhenUsed/>
    <w:qFormat/>
    <w:rsid w:val="00D65DBF"/>
    <w:pPr>
      <w:outlineLvl w:val="9"/>
    </w:pPr>
  </w:style>
  <w:style w:type="character" w:customStyle="1" w:styleId="Titre2Car">
    <w:name w:val="Titre 2 Car"/>
    <w:basedOn w:val="Policepardfaut"/>
    <w:link w:val="Titre2"/>
    <w:uiPriority w:val="9"/>
    <w:rsid w:val="00D65DBF"/>
    <w:rPr>
      <w:rFonts w:asciiTheme="majorHAnsi" w:eastAsiaTheme="majorEastAsia" w:hAnsiTheme="majorHAnsi" w:cstheme="majorBidi"/>
      <w:b/>
      <w:bCs/>
      <w:color w:val="4A66AC" w:themeColor="accent1"/>
      <w:sz w:val="26"/>
      <w:szCs w:val="26"/>
    </w:rPr>
  </w:style>
  <w:style w:type="character" w:customStyle="1" w:styleId="Titre3Car">
    <w:name w:val="Titre 3 Car"/>
    <w:basedOn w:val="Policepardfaut"/>
    <w:link w:val="Titre3"/>
    <w:uiPriority w:val="9"/>
    <w:rsid w:val="00D65DBF"/>
    <w:rPr>
      <w:rFonts w:asciiTheme="majorHAnsi" w:eastAsiaTheme="majorEastAsia" w:hAnsiTheme="majorHAnsi" w:cstheme="majorBidi"/>
      <w:b/>
      <w:bCs/>
      <w:color w:val="4A66AC" w:themeColor="accent1"/>
    </w:rPr>
  </w:style>
  <w:style w:type="character" w:customStyle="1" w:styleId="Titre4Car">
    <w:name w:val="Titre 4 Car"/>
    <w:basedOn w:val="Policepardfaut"/>
    <w:link w:val="Titre4"/>
    <w:uiPriority w:val="9"/>
    <w:semiHidden/>
    <w:rsid w:val="00D65DBF"/>
    <w:rPr>
      <w:rFonts w:asciiTheme="majorHAnsi" w:eastAsiaTheme="majorEastAsia" w:hAnsiTheme="majorHAnsi" w:cstheme="majorBidi"/>
      <w:b/>
      <w:bCs/>
      <w:i/>
      <w:iCs/>
      <w:color w:val="4A66AC" w:themeColor="accent1"/>
    </w:rPr>
  </w:style>
  <w:style w:type="character" w:customStyle="1" w:styleId="Titre5Car">
    <w:name w:val="Titre 5 Car"/>
    <w:basedOn w:val="Policepardfaut"/>
    <w:link w:val="Titre5"/>
    <w:uiPriority w:val="9"/>
    <w:semiHidden/>
    <w:rsid w:val="00D65DBF"/>
    <w:rPr>
      <w:rFonts w:asciiTheme="majorHAnsi" w:eastAsiaTheme="majorEastAsia" w:hAnsiTheme="majorHAnsi" w:cstheme="majorBidi"/>
      <w:color w:val="243255" w:themeColor="accent1" w:themeShade="7F"/>
    </w:rPr>
  </w:style>
  <w:style w:type="character" w:customStyle="1" w:styleId="Titre6Car">
    <w:name w:val="Titre 6 Car"/>
    <w:basedOn w:val="Policepardfaut"/>
    <w:link w:val="Titre6"/>
    <w:uiPriority w:val="9"/>
    <w:semiHidden/>
    <w:rsid w:val="00D65DBF"/>
    <w:rPr>
      <w:rFonts w:asciiTheme="majorHAnsi" w:eastAsiaTheme="majorEastAsia" w:hAnsiTheme="majorHAnsi" w:cstheme="majorBidi"/>
      <w:i/>
      <w:iCs/>
      <w:color w:val="243255" w:themeColor="accent1" w:themeShade="7F"/>
    </w:rPr>
  </w:style>
  <w:style w:type="character" w:customStyle="1" w:styleId="Titre7Car">
    <w:name w:val="Titre 7 Car"/>
    <w:basedOn w:val="Policepardfaut"/>
    <w:link w:val="Titre7"/>
    <w:uiPriority w:val="9"/>
    <w:semiHidden/>
    <w:rsid w:val="00D65DB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65DBF"/>
    <w:rPr>
      <w:rFonts w:asciiTheme="majorHAnsi" w:eastAsiaTheme="majorEastAsia" w:hAnsiTheme="majorHAnsi" w:cstheme="majorBidi"/>
      <w:color w:val="4A66AC" w:themeColor="accent1"/>
      <w:sz w:val="20"/>
      <w:szCs w:val="20"/>
    </w:rPr>
  </w:style>
  <w:style w:type="character" w:customStyle="1" w:styleId="Titre9Car">
    <w:name w:val="Titre 9 Car"/>
    <w:basedOn w:val="Policepardfaut"/>
    <w:link w:val="Titre9"/>
    <w:uiPriority w:val="9"/>
    <w:semiHidden/>
    <w:rsid w:val="00D65DB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D65DBF"/>
    <w:pPr>
      <w:spacing w:line="240" w:lineRule="auto"/>
    </w:pPr>
    <w:rPr>
      <w:b/>
      <w:bCs/>
      <w:color w:val="4A66AC" w:themeColor="accent1"/>
      <w:sz w:val="18"/>
      <w:szCs w:val="18"/>
    </w:rPr>
  </w:style>
  <w:style w:type="paragraph" w:styleId="Titre">
    <w:name w:val="Title"/>
    <w:basedOn w:val="Normal"/>
    <w:next w:val="Normal"/>
    <w:link w:val="TitreCar"/>
    <w:uiPriority w:val="10"/>
    <w:qFormat/>
    <w:rsid w:val="00D65DBF"/>
    <w:pPr>
      <w:pBdr>
        <w:bottom w:val="single" w:sz="8" w:space="4" w:color="4A66AC" w:themeColor="accent1"/>
      </w:pBdr>
      <w:spacing w:after="300" w:line="240" w:lineRule="auto"/>
      <w:contextualSpacing/>
    </w:pPr>
    <w:rPr>
      <w:rFonts w:asciiTheme="majorHAnsi" w:eastAsiaTheme="majorEastAsia" w:hAnsiTheme="majorHAnsi" w:cstheme="majorBidi"/>
      <w:color w:val="1B1D3D" w:themeColor="text2" w:themeShade="BF"/>
      <w:spacing w:val="5"/>
      <w:sz w:val="52"/>
      <w:szCs w:val="52"/>
    </w:rPr>
  </w:style>
  <w:style w:type="character" w:customStyle="1" w:styleId="TitreCar">
    <w:name w:val="Titre Car"/>
    <w:basedOn w:val="Policepardfaut"/>
    <w:link w:val="Titre"/>
    <w:uiPriority w:val="10"/>
    <w:rsid w:val="00D65DBF"/>
    <w:rPr>
      <w:rFonts w:asciiTheme="majorHAnsi" w:eastAsiaTheme="majorEastAsia" w:hAnsiTheme="majorHAnsi" w:cstheme="majorBidi"/>
      <w:color w:val="1B1D3D" w:themeColor="text2" w:themeShade="BF"/>
      <w:spacing w:val="5"/>
      <w:sz w:val="52"/>
      <w:szCs w:val="52"/>
    </w:rPr>
  </w:style>
  <w:style w:type="paragraph" w:styleId="Sous-titre">
    <w:name w:val="Subtitle"/>
    <w:basedOn w:val="Normal"/>
    <w:next w:val="Normal"/>
    <w:link w:val="Sous-titreCar"/>
    <w:uiPriority w:val="11"/>
    <w:qFormat/>
    <w:rsid w:val="00D65DBF"/>
    <w:pPr>
      <w:numPr>
        <w:ilvl w:val="1"/>
      </w:numPr>
    </w:pPr>
    <w:rPr>
      <w:rFonts w:asciiTheme="majorHAnsi" w:eastAsiaTheme="majorEastAsia" w:hAnsiTheme="majorHAnsi" w:cstheme="majorBidi"/>
      <w:i/>
      <w:iCs/>
      <w:color w:val="4A66AC" w:themeColor="accent1"/>
      <w:spacing w:val="15"/>
      <w:sz w:val="24"/>
      <w:szCs w:val="24"/>
    </w:rPr>
  </w:style>
  <w:style w:type="character" w:customStyle="1" w:styleId="Sous-titreCar">
    <w:name w:val="Sous-titre Car"/>
    <w:basedOn w:val="Policepardfaut"/>
    <w:link w:val="Sous-titre"/>
    <w:uiPriority w:val="11"/>
    <w:rsid w:val="00D65DBF"/>
    <w:rPr>
      <w:rFonts w:asciiTheme="majorHAnsi" w:eastAsiaTheme="majorEastAsia" w:hAnsiTheme="majorHAnsi" w:cstheme="majorBidi"/>
      <w:i/>
      <w:iCs/>
      <w:color w:val="4A66AC" w:themeColor="accent1"/>
      <w:spacing w:val="15"/>
      <w:sz w:val="24"/>
      <w:szCs w:val="24"/>
    </w:rPr>
  </w:style>
  <w:style w:type="character" w:styleId="lev">
    <w:name w:val="Strong"/>
    <w:basedOn w:val="Policepardfaut"/>
    <w:uiPriority w:val="22"/>
    <w:qFormat/>
    <w:rsid w:val="00D65DBF"/>
    <w:rPr>
      <w:b/>
      <w:bCs/>
    </w:rPr>
  </w:style>
  <w:style w:type="character" w:styleId="Accentuation">
    <w:name w:val="Emphasis"/>
    <w:basedOn w:val="Policepardfaut"/>
    <w:uiPriority w:val="20"/>
    <w:qFormat/>
    <w:rsid w:val="00D65DBF"/>
    <w:rPr>
      <w:i/>
      <w:iCs/>
    </w:rPr>
  </w:style>
  <w:style w:type="paragraph" w:styleId="Sansinterligne">
    <w:name w:val="No Spacing"/>
    <w:uiPriority w:val="1"/>
    <w:qFormat/>
    <w:rsid w:val="00D65DBF"/>
    <w:pPr>
      <w:spacing w:after="0" w:line="240" w:lineRule="auto"/>
    </w:pPr>
  </w:style>
  <w:style w:type="paragraph" w:styleId="Citation">
    <w:name w:val="Quote"/>
    <w:basedOn w:val="Normal"/>
    <w:next w:val="Normal"/>
    <w:link w:val="CitationCar"/>
    <w:uiPriority w:val="29"/>
    <w:qFormat/>
    <w:rsid w:val="00D65DBF"/>
    <w:rPr>
      <w:i/>
      <w:iCs/>
      <w:color w:val="000000" w:themeColor="text1"/>
    </w:rPr>
  </w:style>
  <w:style w:type="character" w:customStyle="1" w:styleId="CitationCar">
    <w:name w:val="Citation Car"/>
    <w:basedOn w:val="Policepardfaut"/>
    <w:link w:val="Citation"/>
    <w:uiPriority w:val="29"/>
    <w:rsid w:val="00D65DBF"/>
    <w:rPr>
      <w:i/>
      <w:iCs/>
      <w:color w:val="000000" w:themeColor="text1"/>
    </w:rPr>
  </w:style>
  <w:style w:type="paragraph" w:styleId="Citationintense">
    <w:name w:val="Intense Quote"/>
    <w:basedOn w:val="Normal"/>
    <w:next w:val="Normal"/>
    <w:link w:val="CitationintenseCar"/>
    <w:uiPriority w:val="30"/>
    <w:qFormat/>
    <w:rsid w:val="00D65DBF"/>
    <w:pPr>
      <w:pBdr>
        <w:bottom w:val="single" w:sz="4" w:space="4" w:color="4A66AC" w:themeColor="accent1"/>
      </w:pBdr>
      <w:spacing w:before="200" w:after="280"/>
      <w:ind w:left="936" w:right="936"/>
    </w:pPr>
    <w:rPr>
      <w:b/>
      <w:bCs/>
      <w:i/>
      <w:iCs/>
      <w:color w:val="4A66AC" w:themeColor="accent1"/>
    </w:rPr>
  </w:style>
  <w:style w:type="character" w:customStyle="1" w:styleId="CitationintenseCar">
    <w:name w:val="Citation intense Car"/>
    <w:basedOn w:val="Policepardfaut"/>
    <w:link w:val="Citationintense"/>
    <w:uiPriority w:val="30"/>
    <w:rsid w:val="00D65DBF"/>
    <w:rPr>
      <w:b/>
      <w:bCs/>
      <w:i/>
      <w:iCs/>
      <w:color w:val="4A66AC" w:themeColor="accent1"/>
    </w:rPr>
  </w:style>
  <w:style w:type="character" w:styleId="Accentuationlgre">
    <w:name w:val="Subtle Emphasis"/>
    <w:basedOn w:val="Policepardfaut"/>
    <w:uiPriority w:val="19"/>
    <w:qFormat/>
    <w:rsid w:val="00D65DBF"/>
    <w:rPr>
      <w:i/>
      <w:iCs/>
      <w:color w:val="808080" w:themeColor="text1" w:themeTint="7F"/>
    </w:rPr>
  </w:style>
  <w:style w:type="character" w:styleId="Accentuationintense">
    <w:name w:val="Intense Emphasis"/>
    <w:basedOn w:val="Policepardfaut"/>
    <w:uiPriority w:val="21"/>
    <w:qFormat/>
    <w:rsid w:val="00D65DBF"/>
    <w:rPr>
      <w:b/>
      <w:bCs/>
      <w:i/>
      <w:iCs/>
      <w:color w:val="4A66AC" w:themeColor="accent1"/>
    </w:rPr>
  </w:style>
  <w:style w:type="character" w:styleId="Rfrencelgre">
    <w:name w:val="Subtle Reference"/>
    <w:basedOn w:val="Policepardfaut"/>
    <w:uiPriority w:val="31"/>
    <w:qFormat/>
    <w:rsid w:val="00D65DBF"/>
    <w:rPr>
      <w:smallCaps/>
      <w:color w:val="629DD1" w:themeColor="accent2"/>
      <w:u w:val="single"/>
    </w:rPr>
  </w:style>
  <w:style w:type="character" w:styleId="Rfrenceintense">
    <w:name w:val="Intense Reference"/>
    <w:basedOn w:val="Policepardfaut"/>
    <w:uiPriority w:val="32"/>
    <w:qFormat/>
    <w:rsid w:val="00D65DBF"/>
    <w:rPr>
      <w:b/>
      <w:bCs/>
      <w:smallCaps/>
      <w:color w:val="629DD1" w:themeColor="accent2"/>
      <w:spacing w:val="5"/>
      <w:u w:val="single"/>
    </w:rPr>
  </w:style>
  <w:style w:type="character" w:styleId="Titredulivre">
    <w:name w:val="Book Title"/>
    <w:basedOn w:val="Policepardfaut"/>
    <w:uiPriority w:val="33"/>
    <w:qFormat/>
    <w:rsid w:val="00D65DBF"/>
    <w:rPr>
      <w:b/>
      <w:bCs/>
      <w:smallCaps/>
      <w:spacing w:val="5"/>
    </w:rPr>
  </w:style>
  <w:style w:type="paragraph" w:styleId="TM1">
    <w:name w:val="toc 1"/>
    <w:basedOn w:val="Normal"/>
    <w:next w:val="Normal"/>
    <w:autoRedefine/>
    <w:uiPriority w:val="39"/>
    <w:unhideWhenUsed/>
    <w:rsid w:val="005B2879"/>
    <w:pPr>
      <w:spacing w:after="100"/>
    </w:pPr>
  </w:style>
  <w:style w:type="character" w:styleId="Lienhypertexte">
    <w:name w:val="Hyperlink"/>
    <w:basedOn w:val="Policepardfaut"/>
    <w:uiPriority w:val="99"/>
    <w:unhideWhenUsed/>
    <w:rsid w:val="005B2879"/>
    <w:rPr>
      <w:color w:val="9454C3" w:themeColor="hyperlink"/>
      <w:u w:val="single"/>
    </w:rPr>
  </w:style>
  <w:style w:type="paragraph" w:styleId="Paragraphedeliste">
    <w:name w:val="List Paragraph"/>
    <w:basedOn w:val="Normal"/>
    <w:uiPriority w:val="34"/>
    <w:qFormat/>
    <w:rsid w:val="00D65DBF"/>
    <w:pPr>
      <w:ind w:left="720"/>
      <w:contextualSpacing/>
    </w:pPr>
  </w:style>
  <w:style w:type="paragraph" w:styleId="TM2">
    <w:name w:val="toc 2"/>
    <w:basedOn w:val="Normal"/>
    <w:next w:val="Normal"/>
    <w:autoRedefine/>
    <w:uiPriority w:val="39"/>
    <w:unhideWhenUsed/>
    <w:rsid w:val="00FE3B72"/>
    <w:pPr>
      <w:spacing w:after="100"/>
      <w:ind w:left="220"/>
    </w:pPr>
  </w:style>
  <w:style w:type="paragraph" w:styleId="NormalWeb">
    <w:name w:val="Normal (Web)"/>
    <w:basedOn w:val="Normal"/>
    <w:uiPriority w:val="99"/>
    <w:semiHidden/>
    <w:unhideWhenUsed/>
    <w:rsid w:val="0095601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pdwcar.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ontact@pdwcar.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Ion">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BFAE1-367A-426E-8815-85F9900C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6752</Words>
  <Characters>37138</Characters>
  <Application>Microsoft Office Word</Application>
  <DocSecurity>0</DocSecurity>
  <Lines>309</Lines>
  <Paragraphs>87</Paragraphs>
  <ScaleCrop>false</ScaleCrop>
  <HeadingPairs>
    <vt:vector size="4" baseType="variant">
      <vt:variant>
        <vt:lpstr>Titre</vt:lpstr>
      </vt:variant>
      <vt:variant>
        <vt:i4>1</vt:i4>
      </vt:variant>
      <vt:variant>
        <vt:lpstr>Titres</vt:lpstr>
      </vt:variant>
      <vt:variant>
        <vt:i4>26</vt:i4>
      </vt:variant>
    </vt:vector>
  </HeadingPairs>
  <TitlesOfParts>
    <vt:vector size="27" baseType="lpstr">
      <vt:lpstr/>
      <vt:lpstr>RESUME EXECUTIF</vt:lpstr>
      <vt:lpstr>INTRODUCTION &amp; CONTEXTE</vt:lpstr>
      <vt:lpstr>METHODOLOGIE</vt:lpstr>
      <vt:lpstr>    CADRE CONCEPTUEL</vt:lpstr>
      <vt:lpstr>    DISPOSITIF D’ENQUETE</vt:lpstr>
      <vt:lpstr>    PORTEE ET LIMITES</vt:lpstr>
      <vt:lpstr>PERCEPTIONS DES POPULATIONS SUR LES RISQUES INFORMATIONNELS </vt:lpstr>
      <vt:lpstr>    La désinformation devient « normale »</vt:lpstr>
      <vt:lpstr>    Rumeurs sécuritaires : de l’alerte à la panique</vt:lpstr>
      <vt:lpstr>    Désinformation sexiste et « centrafricanité » instrumentalisée</vt:lpstr>
      <vt:lpstr>    Zones grises entre parole et numérique</vt:lpstr>
      <vt:lpstr>    Fracture Bangui–provinces et avance organisationnelle du pouvoir</vt:lpstr>
      <vt:lpstr>    Diaspora, influences extérieures et économies de la rumeur</vt:lpstr>
      <vt:lpstr>ANALYSE DES RISQUES </vt:lpstr>
      <vt:lpstr>    Abstention différenciée territoriale</vt:lpstr>
      <vt:lpstr>    Polarisation et tensions communautaires</vt:lpstr>
      <vt:lpstr>    Confusion procédurale et défiance envers l’ANE</vt:lpstr>
      <vt:lpstr>    Affaiblissement cible des femmes candidates</vt:lpstr>
      <vt:lpstr>    Capture narrative de certains territoires</vt:lpstr>
      <vt:lpstr>RECOMMANDATIONS FINALES</vt:lpstr>
      <vt:lpstr>    Instaurer une parole institutionnelle simple, régulière et identifiée de l’ANE</vt:lpstr>
      <vt:lpstr>    Diffuser un socle national minimal de messages standardisés</vt:lpstr>
      <vt:lpstr>    Hiérarchiser les rumeurs pour ajuster la réponse institutionnelle</vt:lpstr>
      <vt:lpstr>    Reconnaître explicitement la désinformation sexiste comme un risque électoral</vt:lpstr>
      <vt:lpstr>    S’appuyer sur les relais sociaux réels comme traducteurs de l’information électo</vt:lpstr>
      <vt:lpstr>CONCLUSION GENERALE</vt:lpstr>
    </vt:vector>
  </TitlesOfParts>
  <Company/>
  <LinksUpToDate>false</LinksUpToDate>
  <CharactersWithSpaces>43803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kessy Martine E.Soignet</cp:lastModifiedBy>
  <cp:revision>17</cp:revision>
  <cp:lastPrinted>2025-12-15T07:19:00Z</cp:lastPrinted>
  <dcterms:created xsi:type="dcterms:W3CDTF">2025-12-11T12:56:00Z</dcterms:created>
  <dcterms:modified xsi:type="dcterms:W3CDTF">2025-12-15T07:29:00Z</dcterms:modified>
</cp:coreProperties>
</file>